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727D8" w14:textId="20A44E10" w:rsidR="00CC6F36" w:rsidRPr="001D2FBF" w:rsidRDefault="00CC6F36" w:rsidP="00CC6F36">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w:t>
      </w:r>
      <w:r w:rsidR="00AA5EC6" w:rsidRPr="001D2FBF">
        <w:rPr>
          <w:rFonts w:ascii="Arial" w:hAnsi="Arial" w:cs="Arial"/>
          <w:b/>
          <w:sz w:val="24"/>
          <w:szCs w:val="28"/>
          <w:lang w:val="en-US"/>
        </w:rPr>
        <w:t>9</w:t>
      </w:r>
      <w:r w:rsidR="00CE5962">
        <w:rPr>
          <w:rFonts w:ascii="Arial" w:hAnsi="Arial" w:cs="Arial"/>
          <w:b/>
          <w:sz w:val="24"/>
          <w:szCs w:val="28"/>
          <w:lang w:val="en-US"/>
        </w:rPr>
        <w:t>8</w:t>
      </w:r>
      <w:r w:rsidR="00017ED1"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w:t>
      </w:r>
      <w:r w:rsidR="00EE6163" w:rsidRPr="001D2FBF">
        <w:rPr>
          <w:rFonts w:ascii="Arial" w:hAnsi="Arial" w:cs="Arial"/>
          <w:b/>
          <w:sz w:val="24"/>
          <w:szCs w:val="28"/>
          <w:lang w:val="en-US"/>
        </w:rPr>
        <w:t>2</w:t>
      </w:r>
      <w:r w:rsidR="000D4F7A">
        <w:rPr>
          <w:rFonts w:ascii="Arial" w:hAnsi="Arial" w:cs="Arial"/>
          <w:b/>
          <w:sz w:val="24"/>
          <w:szCs w:val="28"/>
          <w:lang w:val="en-US"/>
        </w:rPr>
        <w:t>10</w:t>
      </w:r>
      <w:r w:rsidR="00C733D8">
        <w:rPr>
          <w:rFonts w:ascii="Arial" w:hAnsi="Arial" w:cs="Arial"/>
          <w:b/>
          <w:sz w:val="24"/>
          <w:szCs w:val="28"/>
          <w:lang w:val="en-US"/>
        </w:rPr>
        <w:t>1777</w:t>
      </w:r>
    </w:p>
    <w:p w14:paraId="60407F1B" w14:textId="794683F4" w:rsidR="00CC6F36" w:rsidRPr="001D2FBF" w:rsidRDefault="002B3E63" w:rsidP="00CC6F36">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 xml:space="preserve">Electronic </w:t>
      </w:r>
      <w:r w:rsidR="00EE6163" w:rsidRPr="001D2FBF">
        <w:rPr>
          <w:rFonts w:ascii="Arial" w:hAnsi="Arial" w:cs="Arial"/>
          <w:b/>
          <w:sz w:val="24"/>
          <w:szCs w:val="28"/>
          <w:lang w:val="en-US"/>
        </w:rPr>
        <w:t>Meeting</w:t>
      </w:r>
      <w:r w:rsidR="00CC6F36" w:rsidRPr="001D2FBF">
        <w:rPr>
          <w:rFonts w:ascii="Arial" w:hAnsi="Arial" w:cs="Arial"/>
          <w:b/>
          <w:sz w:val="24"/>
          <w:szCs w:val="28"/>
          <w:lang w:val="en-US"/>
        </w:rPr>
        <w:t>,</w:t>
      </w:r>
      <w:r w:rsidR="004D68F9">
        <w:rPr>
          <w:rFonts w:ascii="Arial" w:hAnsi="Arial" w:cs="Arial"/>
          <w:b/>
          <w:sz w:val="24"/>
          <w:szCs w:val="28"/>
          <w:lang w:val="en-US"/>
        </w:rPr>
        <w:t xml:space="preserve"> </w:t>
      </w:r>
      <w:r w:rsidR="009F22C0">
        <w:rPr>
          <w:rFonts w:ascii="Arial" w:hAnsi="Arial" w:cs="Arial"/>
          <w:b/>
          <w:sz w:val="24"/>
          <w:szCs w:val="28"/>
          <w:lang w:val="en-US"/>
        </w:rPr>
        <w:t>January</w:t>
      </w:r>
      <w:r w:rsidR="009D4FE9">
        <w:rPr>
          <w:rFonts w:ascii="Arial" w:hAnsi="Arial" w:cs="Arial"/>
          <w:b/>
          <w:sz w:val="24"/>
          <w:szCs w:val="28"/>
          <w:lang w:val="en-US"/>
        </w:rPr>
        <w:t xml:space="preserve"> 2</w:t>
      </w:r>
      <w:r w:rsidR="009F22C0">
        <w:rPr>
          <w:rFonts w:ascii="Arial" w:hAnsi="Arial" w:cs="Arial"/>
          <w:b/>
          <w:sz w:val="24"/>
          <w:szCs w:val="28"/>
          <w:lang w:val="en-US"/>
        </w:rPr>
        <w:t>5 – Febru</w:t>
      </w:r>
      <w:r w:rsidR="001B5224">
        <w:rPr>
          <w:rFonts w:ascii="Arial" w:hAnsi="Arial" w:cs="Arial"/>
          <w:b/>
          <w:sz w:val="24"/>
          <w:szCs w:val="28"/>
          <w:lang w:val="en-US"/>
        </w:rPr>
        <w:t>a</w:t>
      </w:r>
      <w:r w:rsidR="009F22C0">
        <w:rPr>
          <w:rFonts w:ascii="Arial" w:hAnsi="Arial" w:cs="Arial"/>
          <w:b/>
          <w:sz w:val="24"/>
          <w:szCs w:val="28"/>
          <w:lang w:val="en-US"/>
        </w:rPr>
        <w:t>ry 5</w:t>
      </w:r>
      <w:r w:rsidR="00CC6F36" w:rsidRPr="001D2FBF">
        <w:rPr>
          <w:rFonts w:ascii="Arial" w:hAnsi="Arial" w:cs="Arial"/>
          <w:b/>
          <w:sz w:val="24"/>
          <w:szCs w:val="28"/>
          <w:lang w:val="en-US"/>
        </w:rPr>
        <w:t>, 20</w:t>
      </w:r>
      <w:r w:rsidR="00EE6163" w:rsidRPr="001D2FBF">
        <w:rPr>
          <w:rFonts w:ascii="Arial" w:hAnsi="Arial" w:cs="Arial"/>
          <w:b/>
          <w:sz w:val="24"/>
          <w:szCs w:val="28"/>
          <w:lang w:val="en-US"/>
        </w:rPr>
        <w:t>20</w:t>
      </w:r>
    </w:p>
    <w:p w14:paraId="1EFB1C75" w14:textId="29BB96BC"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hAnsi="Arial" w:cs="Arial"/>
          <w:color w:val="000000"/>
          <w:sz w:val="22"/>
          <w:lang w:eastAsia="zh-CN"/>
        </w:rPr>
        <w:t>7</w:t>
      </w:r>
      <w:r>
        <w:rPr>
          <w:rFonts w:ascii="Arial" w:hAnsi="Arial" w:cs="Arial" w:hint="eastAsia"/>
          <w:color w:val="000000"/>
          <w:sz w:val="22"/>
          <w:lang w:eastAsia="zh-CN"/>
        </w:rPr>
        <w:t>.</w:t>
      </w:r>
      <w:r w:rsidR="00573AA1">
        <w:rPr>
          <w:rFonts w:ascii="Arial" w:hAnsi="Arial" w:cs="Arial"/>
          <w:color w:val="000000"/>
          <w:sz w:val="22"/>
          <w:lang w:eastAsia="zh-CN"/>
        </w:rPr>
        <w:t>7</w:t>
      </w:r>
      <w:r>
        <w:rPr>
          <w:rFonts w:ascii="Arial" w:hAnsi="Arial" w:cs="Arial" w:hint="eastAsia"/>
          <w:color w:val="000000"/>
          <w:sz w:val="22"/>
          <w:lang w:eastAsia="zh-CN"/>
        </w:rPr>
        <w:t>.</w:t>
      </w:r>
      <w:r w:rsidR="00CB15AF">
        <w:rPr>
          <w:rFonts w:ascii="Arial" w:hAnsi="Arial" w:cs="Arial"/>
          <w:color w:val="000000"/>
          <w:sz w:val="22"/>
          <w:lang w:eastAsia="zh-CN"/>
        </w:rPr>
        <w:t>1.1</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6BEB9C75"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B15AF">
        <w:rPr>
          <w:rFonts w:ascii="Arial" w:hAnsi="Arial" w:cs="Arial"/>
          <w:color w:val="000000"/>
          <w:sz w:val="22"/>
          <w:lang w:eastAsia="zh-CN"/>
        </w:rPr>
        <w:t xml:space="preserve">Discussion on </w:t>
      </w:r>
      <w:r w:rsidR="005848F6">
        <w:rPr>
          <w:rFonts w:ascii="Arial" w:hAnsi="Arial" w:cs="Arial"/>
          <w:color w:val="000000"/>
          <w:sz w:val="22"/>
          <w:lang w:eastAsia="zh-CN"/>
        </w:rPr>
        <w:t>UE Rx-Tx tim</w:t>
      </w:r>
      <w:r w:rsidR="00752139">
        <w:rPr>
          <w:rFonts w:ascii="Arial" w:hAnsi="Arial" w:cs="Arial"/>
          <w:color w:val="000000"/>
          <w:sz w:val="22"/>
          <w:lang w:eastAsia="zh-CN"/>
        </w:rPr>
        <w:t>e</w:t>
      </w:r>
      <w:r w:rsidR="005848F6">
        <w:rPr>
          <w:rFonts w:ascii="Arial" w:hAnsi="Arial" w:cs="Arial"/>
          <w:color w:val="000000"/>
          <w:sz w:val="22"/>
          <w:lang w:eastAsia="zh-CN"/>
        </w:rPr>
        <w:t xml:space="preserve"> difference</w:t>
      </w:r>
      <w:r w:rsidR="00CB15AF">
        <w:rPr>
          <w:rFonts w:ascii="Arial" w:hAnsi="Arial" w:cs="Arial"/>
          <w:color w:val="000000"/>
          <w:sz w:val="22"/>
          <w:lang w:eastAsia="zh-CN"/>
        </w:rPr>
        <w:t xml:space="preserve"> measurement </w:t>
      </w:r>
      <w:r w:rsidR="007C7F90">
        <w:rPr>
          <w:rFonts w:ascii="Arial" w:hAnsi="Arial" w:cs="Arial"/>
          <w:color w:val="000000"/>
          <w:sz w:val="22"/>
          <w:lang w:eastAsia="zh-CN"/>
        </w:rPr>
        <w:t>requirements</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1B9EEA1C" w14:textId="78740CC0" w:rsidR="005075ED" w:rsidRPr="005075ED" w:rsidRDefault="00FE5056" w:rsidP="00BB0A7A">
      <w:pPr>
        <w:spacing w:before="120" w:after="0"/>
        <w:rPr>
          <w:i/>
          <w:iCs/>
          <w:sz w:val="22"/>
          <w:szCs w:val="22"/>
          <w:lang w:val="en-US"/>
        </w:rPr>
      </w:pPr>
      <w:r>
        <w:rPr>
          <w:sz w:val="22"/>
          <w:szCs w:val="22"/>
          <w:lang w:val="en-US"/>
        </w:rPr>
        <w:t>In the RAN4#97-e meeting</w:t>
      </w:r>
      <w:r w:rsidR="003E49EB">
        <w:rPr>
          <w:sz w:val="22"/>
          <w:szCs w:val="22"/>
          <w:lang w:val="en-US"/>
        </w:rPr>
        <w:t xml:space="preserve">, </w:t>
      </w:r>
      <w:r w:rsidR="00BC58C1">
        <w:rPr>
          <w:sz w:val="22"/>
          <w:szCs w:val="22"/>
          <w:lang w:val="en-US"/>
        </w:rPr>
        <w:t xml:space="preserve">there were extensive discussions on </w:t>
      </w:r>
      <w:r w:rsidR="00752139" w:rsidRPr="00752139">
        <w:rPr>
          <w:sz w:val="22"/>
          <w:szCs w:val="22"/>
          <w:lang w:val="en-US"/>
        </w:rPr>
        <w:t>UE Rx-Tx tim</w:t>
      </w:r>
      <w:r w:rsidR="001A6FF6">
        <w:rPr>
          <w:sz w:val="22"/>
          <w:szCs w:val="22"/>
          <w:lang w:val="en-US"/>
        </w:rPr>
        <w:t>e</w:t>
      </w:r>
      <w:r w:rsidR="00752139" w:rsidRPr="00752139">
        <w:rPr>
          <w:sz w:val="22"/>
          <w:szCs w:val="22"/>
          <w:lang w:val="en-US"/>
        </w:rPr>
        <w:t xml:space="preserve"> difference</w:t>
      </w:r>
      <w:r w:rsidR="00BC58C1">
        <w:rPr>
          <w:sz w:val="22"/>
          <w:szCs w:val="22"/>
          <w:lang w:val="en-US"/>
        </w:rPr>
        <w:t xml:space="preserve"> measurement </w:t>
      </w:r>
      <w:r w:rsidR="00101B42">
        <w:rPr>
          <w:sz w:val="22"/>
          <w:szCs w:val="22"/>
          <w:lang w:val="en-US"/>
        </w:rPr>
        <w:t xml:space="preserve">core </w:t>
      </w:r>
      <w:r w:rsidR="00BC58C1">
        <w:rPr>
          <w:sz w:val="22"/>
          <w:szCs w:val="22"/>
          <w:lang w:val="en-US"/>
        </w:rPr>
        <w:t>requirements. Following agreements were made during the meeting.</w:t>
      </w:r>
    </w:p>
    <w:tbl>
      <w:tblPr>
        <w:tblStyle w:val="TableGrid"/>
        <w:tblW w:w="0" w:type="auto"/>
        <w:tblLook w:val="04A0" w:firstRow="1" w:lastRow="0" w:firstColumn="1" w:lastColumn="0" w:noHBand="0" w:noVBand="1"/>
      </w:tblPr>
      <w:tblGrid>
        <w:gridCol w:w="9629"/>
      </w:tblGrid>
      <w:tr w:rsidR="0093676E" w:rsidRPr="0093676E" w14:paraId="2886E555" w14:textId="77777777" w:rsidTr="00EB1D05">
        <w:trPr>
          <w:trHeight w:val="1438"/>
        </w:trPr>
        <w:tc>
          <w:tcPr>
            <w:tcW w:w="9629" w:type="dxa"/>
          </w:tcPr>
          <w:p w14:paraId="06A9CF9D" w14:textId="77777777" w:rsidR="00AE018D" w:rsidRPr="00AE018D" w:rsidRDefault="00AE018D" w:rsidP="00B52AE0">
            <w:pPr>
              <w:numPr>
                <w:ilvl w:val="0"/>
                <w:numId w:val="3"/>
              </w:numPr>
              <w:tabs>
                <w:tab w:val="num" w:pos="720"/>
              </w:tabs>
              <w:spacing w:before="120" w:after="0"/>
              <w:rPr>
                <w:i/>
                <w:iCs/>
                <w:sz w:val="22"/>
                <w:szCs w:val="22"/>
                <w:lang w:val="en-US"/>
              </w:rPr>
            </w:pPr>
            <w:r w:rsidRPr="00AE018D">
              <w:rPr>
                <w:i/>
                <w:iCs/>
                <w:sz w:val="22"/>
                <w:szCs w:val="22"/>
                <w:lang w:val="en-US"/>
              </w:rPr>
              <w:t>Measurement period extension due to SSB collision</w:t>
            </w:r>
          </w:p>
          <w:p w14:paraId="3B8E7FA5" w14:textId="77777777" w:rsidR="00AE018D" w:rsidRPr="00AE018D" w:rsidRDefault="00AE018D" w:rsidP="00B52AE0">
            <w:pPr>
              <w:numPr>
                <w:ilvl w:val="1"/>
                <w:numId w:val="3"/>
              </w:numPr>
              <w:tabs>
                <w:tab w:val="num" w:pos="1440"/>
              </w:tabs>
              <w:spacing w:before="120" w:after="0"/>
              <w:rPr>
                <w:i/>
                <w:iCs/>
                <w:sz w:val="22"/>
                <w:szCs w:val="22"/>
                <w:lang w:val="en-US"/>
              </w:rPr>
            </w:pPr>
            <w:r w:rsidRPr="00AE018D">
              <w:rPr>
                <w:i/>
                <w:iCs/>
                <w:sz w:val="22"/>
                <w:szCs w:val="22"/>
                <w:lang w:val="en-US"/>
              </w:rPr>
              <w:t xml:space="preserve">Follow the same conclusion for RSTD </w:t>
            </w:r>
          </w:p>
          <w:p w14:paraId="64C3ACF7" w14:textId="77777777" w:rsidR="00AE018D" w:rsidRPr="00AE018D" w:rsidRDefault="00AE018D" w:rsidP="00B52AE0">
            <w:pPr>
              <w:numPr>
                <w:ilvl w:val="0"/>
                <w:numId w:val="3"/>
              </w:numPr>
              <w:tabs>
                <w:tab w:val="num" w:pos="720"/>
              </w:tabs>
              <w:spacing w:before="120" w:after="0"/>
              <w:rPr>
                <w:i/>
                <w:iCs/>
                <w:sz w:val="22"/>
                <w:szCs w:val="22"/>
                <w:lang w:val="en-US"/>
              </w:rPr>
            </w:pPr>
            <w:r w:rsidRPr="00AE018D">
              <w:rPr>
                <w:i/>
                <w:iCs/>
                <w:sz w:val="22"/>
                <w:szCs w:val="22"/>
                <w:lang w:val="en-US"/>
              </w:rPr>
              <w:t>Measurement period when configured with PRS-RSRP</w:t>
            </w:r>
          </w:p>
          <w:p w14:paraId="41CF5945" w14:textId="77777777" w:rsidR="00AE018D" w:rsidRPr="00AE018D" w:rsidRDefault="00AE018D" w:rsidP="00B52AE0">
            <w:pPr>
              <w:numPr>
                <w:ilvl w:val="1"/>
                <w:numId w:val="3"/>
              </w:numPr>
              <w:tabs>
                <w:tab w:val="num" w:pos="1440"/>
              </w:tabs>
              <w:spacing w:before="120" w:after="0"/>
              <w:rPr>
                <w:i/>
                <w:iCs/>
                <w:sz w:val="22"/>
                <w:szCs w:val="22"/>
                <w:lang w:val="en-US"/>
              </w:rPr>
            </w:pPr>
            <w:r w:rsidRPr="00AE018D">
              <w:rPr>
                <w:i/>
                <w:iCs/>
                <w:sz w:val="22"/>
                <w:szCs w:val="22"/>
                <w:lang w:val="en-US"/>
              </w:rPr>
              <w:t xml:space="preserve">Follow the same conclusion for RSTD </w:t>
            </w:r>
          </w:p>
          <w:p w14:paraId="4AA0883A" w14:textId="77777777" w:rsidR="00AE018D" w:rsidRPr="00AE018D" w:rsidRDefault="00AE018D" w:rsidP="00B52AE0">
            <w:pPr>
              <w:numPr>
                <w:ilvl w:val="0"/>
                <w:numId w:val="3"/>
              </w:numPr>
              <w:tabs>
                <w:tab w:val="num" w:pos="720"/>
              </w:tabs>
              <w:spacing w:before="120" w:after="0"/>
              <w:rPr>
                <w:i/>
                <w:iCs/>
                <w:sz w:val="22"/>
                <w:szCs w:val="22"/>
                <w:lang w:val="en-US"/>
              </w:rPr>
            </w:pPr>
            <w:r w:rsidRPr="00AE018D">
              <w:rPr>
                <w:i/>
                <w:iCs/>
                <w:sz w:val="22"/>
                <w:szCs w:val="22"/>
                <w:lang w:val="en-US"/>
              </w:rPr>
              <w:t>Measurement period of multiple PRS layers – overlapping case</w:t>
            </w:r>
          </w:p>
          <w:p w14:paraId="0B9702F3" w14:textId="77777777" w:rsidR="00AE018D" w:rsidRPr="00AE018D" w:rsidRDefault="00AE018D" w:rsidP="00B52AE0">
            <w:pPr>
              <w:numPr>
                <w:ilvl w:val="1"/>
                <w:numId w:val="3"/>
              </w:numPr>
              <w:spacing w:before="120" w:after="0"/>
              <w:rPr>
                <w:i/>
                <w:iCs/>
                <w:sz w:val="22"/>
                <w:szCs w:val="22"/>
                <w:lang w:val="en-US"/>
              </w:rPr>
            </w:pPr>
            <w:r w:rsidRPr="00AE018D">
              <w:rPr>
                <w:i/>
                <w:iCs/>
                <w:sz w:val="22"/>
                <w:szCs w:val="22"/>
                <w:lang w:val="en-US"/>
              </w:rPr>
              <w:t xml:space="preserve">Follow the same conclusion for RSTD. </w:t>
            </w:r>
          </w:p>
          <w:p w14:paraId="3B58CAA4" w14:textId="77777777" w:rsidR="00AE018D" w:rsidRPr="00AE018D" w:rsidRDefault="00AE018D" w:rsidP="00B52AE0">
            <w:pPr>
              <w:numPr>
                <w:ilvl w:val="0"/>
                <w:numId w:val="3"/>
              </w:numPr>
              <w:tabs>
                <w:tab w:val="num" w:pos="720"/>
              </w:tabs>
              <w:spacing w:before="120" w:after="0"/>
              <w:rPr>
                <w:i/>
                <w:iCs/>
                <w:sz w:val="22"/>
                <w:szCs w:val="22"/>
                <w:lang w:val="en-US"/>
              </w:rPr>
            </w:pPr>
            <w:r w:rsidRPr="00AE018D">
              <w:rPr>
                <w:i/>
                <w:iCs/>
                <w:sz w:val="22"/>
                <w:szCs w:val="22"/>
                <w:lang w:val="en-US"/>
              </w:rPr>
              <w:t>Measurement period of multiple PRS layers – non-overlapping case</w:t>
            </w:r>
          </w:p>
          <w:p w14:paraId="5862CF6A" w14:textId="77777777" w:rsidR="00AE018D" w:rsidRPr="00AE018D" w:rsidRDefault="00AE018D" w:rsidP="00B52AE0">
            <w:pPr>
              <w:numPr>
                <w:ilvl w:val="1"/>
                <w:numId w:val="3"/>
              </w:numPr>
              <w:tabs>
                <w:tab w:val="num" w:pos="1440"/>
              </w:tabs>
              <w:spacing w:before="120" w:after="0"/>
              <w:rPr>
                <w:i/>
                <w:iCs/>
                <w:sz w:val="22"/>
                <w:szCs w:val="22"/>
                <w:lang w:val="en-US"/>
              </w:rPr>
            </w:pPr>
            <w:r w:rsidRPr="00AE018D">
              <w:rPr>
                <w:i/>
                <w:iCs/>
                <w:sz w:val="22"/>
                <w:szCs w:val="22"/>
                <w:lang w:val="en-US"/>
              </w:rPr>
              <w:t xml:space="preserve">Follow the same conclusion for RSTD. </w:t>
            </w:r>
          </w:p>
          <w:p w14:paraId="61BC0D8B" w14:textId="77777777" w:rsidR="00AE018D" w:rsidRPr="00AE018D" w:rsidRDefault="00AE018D" w:rsidP="00B52AE0">
            <w:pPr>
              <w:numPr>
                <w:ilvl w:val="0"/>
                <w:numId w:val="3"/>
              </w:numPr>
              <w:tabs>
                <w:tab w:val="num" w:pos="720"/>
              </w:tabs>
              <w:spacing w:before="120" w:after="0"/>
              <w:rPr>
                <w:i/>
                <w:iCs/>
                <w:sz w:val="22"/>
                <w:szCs w:val="22"/>
                <w:lang w:val="en-US"/>
              </w:rPr>
            </w:pPr>
            <w:r w:rsidRPr="00AE018D">
              <w:rPr>
                <w:i/>
                <w:iCs/>
                <w:sz w:val="22"/>
                <w:szCs w:val="22"/>
                <w:lang w:val="en-US"/>
              </w:rPr>
              <w:t>SRS/PRS being in same band</w:t>
            </w:r>
          </w:p>
          <w:p w14:paraId="5745B6E9" w14:textId="3D95AF42" w:rsidR="00EB1D05" w:rsidRPr="0093676E" w:rsidRDefault="00AE018D" w:rsidP="00B52AE0">
            <w:pPr>
              <w:numPr>
                <w:ilvl w:val="1"/>
                <w:numId w:val="3"/>
              </w:numPr>
              <w:tabs>
                <w:tab w:val="num" w:pos="1440"/>
              </w:tabs>
              <w:spacing w:before="120" w:after="0"/>
              <w:rPr>
                <w:i/>
                <w:iCs/>
                <w:sz w:val="22"/>
                <w:szCs w:val="22"/>
                <w:lang w:val="en-US"/>
              </w:rPr>
            </w:pPr>
            <w:r w:rsidRPr="00AE018D">
              <w:rPr>
                <w:i/>
                <w:iCs/>
                <w:sz w:val="22"/>
                <w:szCs w:val="22"/>
                <w:lang w:val="en-US"/>
              </w:rPr>
              <w:t>Option 2: Basic requirements for UE Rx-Tx time difference measurements shall be based on the assumption that positioning SRS resources are in the same band as PRS frequency layer</w:t>
            </w:r>
            <w:r w:rsidR="002857E7" w:rsidRPr="002857E7">
              <w:rPr>
                <w:i/>
                <w:iCs/>
                <w:sz w:val="22"/>
                <w:szCs w:val="22"/>
              </w:rPr>
              <w:t xml:space="preserve"> </w:t>
            </w:r>
          </w:p>
        </w:tc>
      </w:tr>
    </w:tbl>
    <w:p w14:paraId="6FC1710D" w14:textId="38EE6904" w:rsidR="0055506E" w:rsidRPr="001D2FBF" w:rsidRDefault="00BC58C1" w:rsidP="00BB0A7A">
      <w:pPr>
        <w:spacing w:before="120" w:after="0"/>
        <w:rPr>
          <w:sz w:val="22"/>
          <w:szCs w:val="22"/>
          <w:lang w:val="en-US"/>
        </w:rPr>
      </w:pPr>
      <w:r>
        <w:rPr>
          <w:sz w:val="22"/>
          <w:szCs w:val="22"/>
          <w:lang w:val="en-US"/>
        </w:rPr>
        <w:t xml:space="preserve">There are still remaining open issues on </w:t>
      </w:r>
      <w:r w:rsidR="001A6FF6" w:rsidRPr="00752139">
        <w:rPr>
          <w:sz w:val="22"/>
          <w:szCs w:val="22"/>
          <w:lang w:val="en-US"/>
        </w:rPr>
        <w:t>UE Rx-Tx tim</w:t>
      </w:r>
      <w:r w:rsidR="001A6FF6">
        <w:rPr>
          <w:sz w:val="22"/>
          <w:szCs w:val="22"/>
          <w:lang w:val="en-US"/>
        </w:rPr>
        <w:t>e</w:t>
      </w:r>
      <w:r w:rsidR="001A6FF6" w:rsidRPr="00752139">
        <w:rPr>
          <w:sz w:val="22"/>
          <w:szCs w:val="22"/>
          <w:lang w:val="en-US"/>
        </w:rPr>
        <w:t xml:space="preserve"> difference</w:t>
      </w:r>
      <w:r>
        <w:rPr>
          <w:sz w:val="22"/>
          <w:szCs w:val="22"/>
          <w:lang w:val="en-US"/>
        </w:rPr>
        <w:t xml:space="preserve"> measurement requirements as captured in [1].</w:t>
      </w:r>
      <w:r w:rsidR="000431F0">
        <w:rPr>
          <w:sz w:val="22"/>
          <w:szCs w:val="22"/>
          <w:lang w:val="en-US"/>
        </w:rPr>
        <w:t xml:space="preserve"> </w:t>
      </w:r>
      <w:r w:rsidR="00CF5BC2">
        <w:rPr>
          <w:sz w:val="22"/>
          <w:szCs w:val="22"/>
          <w:lang w:val="en-US"/>
        </w:rPr>
        <w:t xml:space="preserve">In this contribution, we provide our views on </w:t>
      </w:r>
      <w:r w:rsidR="001A6FF6" w:rsidRPr="00752139">
        <w:rPr>
          <w:sz w:val="22"/>
          <w:szCs w:val="22"/>
          <w:lang w:val="en-US"/>
        </w:rPr>
        <w:t>UE Rx-Tx tim</w:t>
      </w:r>
      <w:r w:rsidR="001A6FF6">
        <w:rPr>
          <w:sz w:val="22"/>
          <w:szCs w:val="22"/>
          <w:lang w:val="en-US"/>
        </w:rPr>
        <w:t>e</w:t>
      </w:r>
      <w:r w:rsidR="001A6FF6" w:rsidRPr="00752139">
        <w:rPr>
          <w:sz w:val="22"/>
          <w:szCs w:val="22"/>
          <w:lang w:val="en-US"/>
        </w:rPr>
        <w:t xml:space="preserve"> difference</w:t>
      </w:r>
      <w:r w:rsidR="005075ED">
        <w:rPr>
          <w:sz w:val="22"/>
          <w:szCs w:val="22"/>
          <w:lang w:val="en-US"/>
        </w:rPr>
        <w:t xml:space="preserve"> measurement </w:t>
      </w:r>
      <w:r w:rsidR="00245E1F">
        <w:rPr>
          <w:sz w:val="22"/>
          <w:szCs w:val="22"/>
          <w:lang w:val="en-US"/>
        </w:rPr>
        <w:t>period</w:t>
      </w:r>
      <w:r w:rsidR="005075ED">
        <w:rPr>
          <w:sz w:val="22"/>
          <w:szCs w:val="22"/>
          <w:lang w:val="en-US"/>
        </w:rPr>
        <w:t xml:space="preserve"> requirements</w:t>
      </w:r>
      <w:r w:rsidR="00CF5BC2">
        <w:rPr>
          <w:sz w:val="22"/>
          <w:szCs w:val="22"/>
          <w:lang w:val="en-US"/>
        </w:rPr>
        <w:t>.</w:t>
      </w:r>
    </w:p>
    <w:p w14:paraId="76B57B46" w14:textId="1C9CCD6D" w:rsidR="00CB610D" w:rsidRPr="001D2FBF" w:rsidRDefault="00496301" w:rsidP="00CB610D">
      <w:pPr>
        <w:pStyle w:val="Heading1"/>
        <w:numPr>
          <w:ilvl w:val="0"/>
          <w:numId w:val="1"/>
        </w:numPr>
        <w:spacing w:before="360" w:after="0"/>
        <w:ind w:left="357" w:hanging="357"/>
      </w:pPr>
      <w:r>
        <w:t>Discussion</w:t>
      </w:r>
    </w:p>
    <w:p w14:paraId="4D4FE38F" w14:textId="5181036A" w:rsidR="005848F6" w:rsidRDefault="005848F6" w:rsidP="007C4FF1">
      <w:pPr>
        <w:spacing w:before="240" w:after="0"/>
        <w:jc w:val="both"/>
        <w:rPr>
          <w:sz w:val="22"/>
          <w:szCs w:val="22"/>
          <w:lang w:eastAsia="zh-CN"/>
        </w:rPr>
      </w:pPr>
      <w:r>
        <w:rPr>
          <w:sz w:val="22"/>
          <w:szCs w:val="22"/>
          <w:lang w:eastAsia="zh-CN"/>
        </w:rPr>
        <w:t xml:space="preserve">The measurement period requirements for UE Rx-Tx timing difference will follow the conclusion for RSTD as there are commonality in terms of PRS measurements. Impact </w:t>
      </w:r>
      <w:r w:rsidR="001A6FF6">
        <w:rPr>
          <w:sz w:val="22"/>
          <w:szCs w:val="22"/>
          <w:lang w:eastAsia="zh-CN"/>
        </w:rPr>
        <w:t>of</w:t>
      </w:r>
      <w:r>
        <w:rPr>
          <w:sz w:val="22"/>
          <w:szCs w:val="22"/>
          <w:lang w:eastAsia="zh-CN"/>
        </w:rPr>
        <w:t xml:space="preserve"> other aspects are to be further discussed as below.</w:t>
      </w:r>
    </w:p>
    <w:p w14:paraId="094C492A" w14:textId="09FFBFF6" w:rsidR="00C06FC5" w:rsidRPr="005848F6" w:rsidRDefault="005848F6" w:rsidP="005848F6">
      <w:pPr>
        <w:pStyle w:val="Heading2"/>
        <w:rPr>
          <w:lang w:eastAsia="zh-CN"/>
        </w:rPr>
      </w:pPr>
      <w:r>
        <w:rPr>
          <w:lang w:eastAsia="zh-CN"/>
        </w:rPr>
        <w:t xml:space="preserve">2.2 </w:t>
      </w:r>
      <w:r w:rsidR="000F669E">
        <w:rPr>
          <w:lang w:eastAsia="zh-CN"/>
        </w:rPr>
        <w:t xml:space="preserve">Impact due to </w:t>
      </w:r>
      <w:r w:rsidR="00C06FC5" w:rsidRPr="005848F6">
        <w:rPr>
          <w:lang w:eastAsia="zh-CN"/>
        </w:rPr>
        <w:t>SRS</w:t>
      </w:r>
    </w:p>
    <w:tbl>
      <w:tblPr>
        <w:tblStyle w:val="TableGrid"/>
        <w:tblW w:w="0" w:type="auto"/>
        <w:tblLook w:val="04A0" w:firstRow="1" w:lastRow="0" w:firstColumn="1" w:lastColumn="0" w:noHBand="0" w:noVBand="1"/>
      </w:tblPr>
      <w:tblGrid>
        <w:gridCol w:w="9629"/>
      </w:tblGrid>
      <w:tr w:rsidR="00EB1D05" w14:paraId="33DA74E1" w14:textId="77777777" w:rsidTr="00EB1D05">
        <w:tc>
          <w:tcPr>
            <w:tcW w:w="9629" w:type="dxa"/>
          </w:tcPr>
          <w:p w14:paraId="0584A511" w14:textId="77777777" w:rsidR="00C06FC5" w:rsidRPr="00C06FC5" w:rsidRDefault="00C06FC5" w:rsidP="00B52AE0">
            <w:pPr>
              <w:numPr>
                <w:ilvl w:val="0"/>
                <w:numId w:val="3"/>
              </w:numPr>
              <w:tabs>
                <w:tab w:val="num" w:pos="1440"/>
                <w:tab w:val="num" w:pos="2160"/>
              </w:tabs>
              <w:spacing w:before="120" w:after="0"/>
              <w:jc w:val="both"/>
              <w:rPr>
                <w:i/>
                <w:iCs/>
                <w:sz w:val="22"/>
                <w:szCs w:val="22"/>
                <w:lang w:val="en-US"/>
              </w:rPr>
            </w:pPr>
            <w:r w:rsidRPr="00C06FC5">
              <w:rPr>
                <w:i/>
                <w:iCs/>
                <w:sz w:val="22"/>
                <w:szCs w:val="22"/>
                <w:lang w:val="en-US"/>
              </w:rPr>
              <w:t>Whether SRS periodicity should be accounted in measurement period</w:t>
            </w:r>
          </w:p>
          <w:p w14:paraId="4CBD2D5B" w14:textId="77777777" w:rsidR="00C06FC5" w:rsidRPr="00C06FC5" w:rsidRDefault="00C06FC5" w:rsidP="00B52AE0">
            <w:pPr>
              <w:numPr>
                <w:ilvl w:val="1"/>
                <w:numId w:val="3"/>
              </w:numPr>
              <w:tabs>
                <w:tab w:val="num" w:pos="2160"/>
              </w:tabs>
              <w:spacing w:before="120" w:after="0"/>
              <w:jc w:val="both"/>
              <w:rPr>
                <w:i/>
                <w:iCs/>
                <w:sz w:val="22"/>
                <w:szCs w:val="22"/>
                <w:lang w:val="en-US"/>
              </w:rPr>
            </w:pPr>
            <w:r w:rsidRPr="00C06FC5">
              <w:rPr>
                <w:i/>
                <w:iCs/>
                <w:sz w:val="22"/>
                <w:szCs w:val="22"/>
                <w:lang w:val="en-US"/>
              </w:rPr>
              <w:t>Option 1: No</w:t>
            </w:r>
          </w:p>
          <w:p w14:paraId="1081CE09" w14:textId="30C3FD41" w:rsidR="00C06FC5" w:rsidRPr="00C06FC5" w:rsidRDefault="00C06FC5" w:rsidP="00B52AE0">
            <w:pPr>
              <w:numPr>
                <w:ilvl w:val="1"/>
                <w:numId w:val="3"/>
              </w:numPr>
              <w:tabs>
                <w:tab w:val="num" w:pos="2160"/>
              </w:tabs>
              <w:spacing w:before="120" w:after="0"/>
              <w:jc w:val="both"/>
              <w:rPr>
                <w:i/>
                <w:iCs/>
                <w:sz w:val="22"/>
                <w:szCs w:val="22"/>
                <w:lang w:val="en-US"/>
              </w:rPr>
            </w:pPr>
            <w:r w:rsidRPr="00C06FC5">
              <w:rPr>
                <w:i/>
                <w:iCs/>
                <w:sz w:val="22"/>
                <w:szCs w:val="22"/>
                <w:lang w:val="en-US"/>
              </w:rPr>
              <w:t xml:space="preserve">Option 2: Yes, </w:t>
            </w:r>
            <m:oMath>
              <m:sSub>
                <m:sSubPr>
                  <m:ctrlPr>
                    <w:rPr>
                      <w:rFonts w:ascii="Cambria Math" w:hAnsi="Cambria Math"/>
                      <w:i/>
                      <w:iCs/>
                      <w:sz w:val="22"/>
                      <w:szCs w:val="22"/>
                      <w:lang w:val="en-US"/>
                    </w:rPr>
                  </m:ctrlPr>
                </m:sSubPr>
                <m:e>
                  <m:r>
                    <w:rPr>
                      <w:rFonts w:ascii="Cambria Math" w:hAnsi="Cambria Math"/>
                      <w:sz w:val="22"/>
                      <w:szCs w:val="22"/>
                      <w:lang w:val="en-US"/>
                    </w:rPr>
                    <m:t>T</m:t>
                  </m:r>
                </m:e>
                <m:sub>
                  <m:r>
                    <w:rPr>
                      <w:rFonts w:ascii="Cambria Math" w:hAnsi="Cambria Math"/>
                      <w:sz w:val="22"/>
                      <w:szCs w:val="22"/>
                      <w:lang w:val="en-US"/>
                    </w:rPr>
                    <m:t>UERxTx,Total</m:t>
                  </m:r>
                </m:sub>
              </m:sSub>
            </m:oMath>
            <w:r w:rsidRPr="00C06FC5">
              <w:rPr>
                <w:i/>
                <w:iCs/>
                <w:sz w:val="22"/>
                <w:szCs w:val="22"/>
                <w:lang w:val="en-US"/>
              </w:rPr>
              <w:t xml:space="preserve"> can be extended if the SRS periodicity is longer than </w:t>
            </w:r>
            <w:proofErr w:type="gramStart"/>
            <w:r w:rsidRPr="00C06FC5">
              <w:rPr>
                <w:i/>
                <w:iCs/>
                <w:sz w:val="22"/>
                <w:szCs w:val="22"/>
                <w:lang w:val="en-US"/>
              </w:rPr>
              <w:t>max(</w:t>
            </w:r>
            <w:proofErr w:type="gramEnd"/>
            <m:oMath>
              <m:sSub>
                <m:sSubPr>
                  <m:ctrlPr>
                    <w:rPr>
                      <w:rFonts w:ascii="Cambria Math" w:hAnsi="Cambria Math"/>
                      <w:i/>
                      <w:iCs/>
                      <w:sz w:val="22"/>
                      <w:szCs w:val="22"/>
                      <w:lang w:val="en-US"/>
                    </w:rPr>
                  </m:ctrlPr>
                </m:sSubPr>
                <m:e>
                  <m:r>
                    <w:rPr>
                      <w:rFonts w:ascii="Cambria Math" w:hAnsi="Cambria Math"/>
                      <w:sz w:val="22"/>
                      <w:szCs w:val="22"/>
                      <w:lang w:val="en-US"/>
                    </w:rPr>
                    <m:t>T</m:t>
                  </m:r>
                </m:e>
                <m:sub>
                  <m:r>
                    <w:rPr>
                      <w:rFonts w:ascii="Cambria Math" w:hAnsi="Cambria Math"/>
                      <w:sz w:val="22"/>
                      <w:szCs w:val="22"/>
                      <w:lang w:val="en-US"/>
                    </w:rPr>
                    <m:t>PRS,i</m:t>
                  </m:r>
                </m:sub>
              </m:sSub>
            </m:oMath>
            <w:r w:rsidRPr="00C06FC5">
              <w:rPr>
                <w:i/>
                <w:iCs/>
                <w:sz w:val="22"/>
                <w:szCs w:val="22"/>
                <w:lang w:val="en-US"/>
              </w:rPr>
              <w:t>)</w:t>
            </w:r>
          </w:p>
          <w:p w14:paraId="5EC9D7CE" w14:textId="77777777" w:rsidR="00C06FC5" w:rsidRPr="00C06FC5" w:rsidRDefault="00C06FC5" w:rsidP="00B52AE0">
            <w:pPr>
              <w:numPr>
                <w:ilvl w:val="0"/>
                <w:numId w:val="3"/>
              </w:numPr>
              <w:tabs>
                <w:tab w:val="num" w:pos="1440"/>
                <w:tab w:val="num" w:pos="2160"/>
              </w:tabs>
              <w:spacing w:before="120" w:after="0"/>
              <w:jc w:val="both"/>
              <w:rPr>
                <w:i/>
                <w:iCs/>
                <w:sz w:val="22"/>
                <w:szCs w:val="22"/>
                <w:lang w:val="en-US"/>
              </w:rPr>
            </w:pPr>
            <w:r w:rsidRPr="00C06FC5">
              <w:rPr>
                <w:i/>
                <w:iCs/>
                <w:sz w:val="22"/>
                <w:szCs w:val="22"/>
                <w:lang w:val="en-US"/>
              </w:rPr>
              <w:t>Whether SRS dropping should be accounted in measurement period</w:t>
            </w:r>
          </w:p>
          <w:p w14:paraId="0068DDF2" w14:textId="77777777" w:rsidR="00C06FC5" w:rsidRPr="00C06FC5" w:rsidRDefault="00C06FC5" w:rsidP="00B52AE0">
            <w:pPr>
              <w:numPr>
                <w:ilvl w:val="1"/>
                <w:numId w:val="3"/>
              </w:numPr>
              <w:tabs>
                <w:tab w:val="num" w:pos="2160"/>
              </w:tabs>
              <w:spacing w:before="120" w:after="0"/>
              <w:jc w:val="both"/>
              <w:rPr>
                <w:i/>
                <w:iCs/>
                <w:sz w:val="22"/>
                <w:szCs w:val="22"/>
                <w:lang w:val="en-US"/>
              </w:rPr>
            </w:pPr>
            <w:r w:rsidRPr="00C06FC5">
              <w:rPr>
                <w:i/>
                <w:iCs/>
                <w:sz w:val="22"/>
                <w:szCs w:val="22"/>
                <w:lang w:val="en-US"/>
              </w:rPr>
              <w:t>Option 1: No</w:t>
            </w:r>
          </w:p>
          <w:p w14:paraId="521733CD" w14:textId="77777777" w:rsidR="00C06FC5" w:rsidRPr="00C06FC5" w:rsidRDefault="00C06FC5" w:rsidP="00B52AE0">
            <w:pPr>
              <w:numPr>
                <w:ilvl w:val="1"/>
                <w:numId w:val="3"/>
              </w:numPr>
              <w:tabs>
                <w:tab w:val="num" w:pos="2160"/>
              </w:tabs>
              <w:spacing w:before="120" w:after="0"/>
              <w:jc w:val="both"/>
              <w:rPr>
                <w:i/>
                <w:iCs/>
                <w:sz w:val="22"/>
                <w:szCs w:val="22"/>
                <w:lang w:val="en-US"/>
              </w:rPr>
            </w:pPr>
            <w:r w:rsidRPr="00C06FC5">
              <w:rPr>
                <w:i/>
                <w:iCs/>
                <w:sz w:val="22"/>
                <w:szCs w:val="22"/>
                <w:lang w:val="en-US"/>
              </w:rPr>
              <w:t>Option 3b: UE is allowed to extend the UE Rx-Tx measurement period (clarified in the requirements), but the exact value is not specified.</w:t>
            </w:r>
          </w:p>
          <w:p w14:paraId="5F2B23BA" w14:textId="77777777" w:rsidR="00C06FC5" w:rsidRPr="00C06FC5" w:rsidRDefault="00C06FC5" w:rsidP="00B52AE0">
            <w:pPr>
              <w:numPr>
                <w:ilvl w:val="1"/>
                <w:numId w:val="3"/>
              </w:numPr>
              <w:tabs>
                <w:tab w:val="num" w:pos="2160"/>
              </w:tabs>
              <w:spacing w:before="120" w:after="0"/>
              <w:jc w:val="both"/>
              <w:rPr>
                <w:i/>
                <w:iCs/>
                <w:sz w:val="22"/>
                <w:szCs w:val="22"/>
                <w:lang w:val="en-US"/>
              </w:rPr>
            </w:pPr>
            <w:r w:rsidRPr="00C06FC5">
              <w:rPr>
                <w:i/>
                <w:iCs/>
                <w:sz w:val="22"/>
                <w:szCs w:val="22"/>
                <w:lang w:val="en-US"/>
              </w:rPr>
              <w:t>Option 3c: The UE Rx-Tx requirements apply, regardless of how many SRS are dropped.</w:t>
            </w:r>
          </w:p>
          <w:p w14:paraId="5709E6A9" w14:textId="77777777" w:rsidR="00C06FC5" w:rsidRPr="00C06FC5" w:rsidRDefault="00C06FC5" w:rsidP="00B52AE0">
            <w:pPr>
              <w:numPr>
                <w:ilvl w:val="0"/>
                <w:numId w:val="3"/>
              </w:numPr>
              <w:tabs>
                <w:tab w:val="num" w:pos="1440"/>
                <w:tab w:val="num" w:pos="2160"/>
              </w:tabs>
              <w:spacing w:before="120" w:after="0"/>
              <w:jc w:val="both"/>
              <w:rPr>
                <w:i/>
                <w:iCs/>
                <w:sz w:val="22"/>
                <w:szCs w:val="22"/>
                <w:lang w:val="en-US"/>
              </w:rPr>
            </w:pPr>
            <w:r w:rsidRPr="00C06FC5">
              <w:rPr>
                <w:i/>
                <w:iCs/>
                <w:sz w:val="22"/>
                <w:szCs w:val="22"/>
                <w:lang w:val="en-US"/>
              </w:rPr>
              <w:lastRenderedPageBreak/>
              <w:t>SRS/PRS proximity</w:t>
            </w:r>
          </w:p>
          <w:p w14:paraId="31E2BEAF" w14:textId="77777777" w:rsidR="00C06FC5" w:rsidRPr="00C06FC5" w:rsidRDefault="00C06FC5" w:rsidP="00B52AE0">
            <w:pPr>
              <w:numPr>
                <w:ilvl w:val="1"/>
                <w:numId w:val="3"/>
              </w:numPr>
              <w:tabs>
                <w:tab w:val="num" w:pos="2160"/>
              </w:tabs>
              <w:spacing w:before="120" w:after="0"/>
              <w:jc w:val="both"/>
              <w:rPr>
                <w:i/>
                <w:iCs/>
                <w:sz w:val="22"/>
                <w:szCs w:val="22"/>
                <w:lang w:val="en-US"/>
              </w:rPr>
            </w:pPr>
            <w:r w:rsidRPr="00C06FC5">
              <w:rPr>
                <w:i/>
                <w:iCs/>
                <w:sz w:val="22"/>
                <w:szCs w:val="22"/>
                <w:lang w:val="en-US"/>
              </w:rPr>
              <w:t xml:space="preserve">Option 1: The measurement requirements are applicable only if any SRS transmission is within [-X, X] msec of at least one DL PRS resource of each of the TRPs in the assistance data. Accuracy requirements is independent of PRS and SRS separation. </w:t>
            </w:r>
          </w:p>
          <w:p w14:paraId="62BA0F85" w14:textId="77777777" w:rsidR="00C06FC5" w:rsidRPr="00C06FC5" w:rsidRDefault="00C06FC5" w:rsidP="00B52AE0">
            <w:pPr>
              <w:numPr>
                <w:ilvl w:val="2"/>
                <w:numId w:val="3"/>
              </w:numPr>
              <w:tabs>
                <w:tab w:val="num" w:pos="2160"/>
              </w:tabs>
              <w:spacing w:before="120" w:after="0"/>
              <w:jc w:val="both"/>
              <w:rPr>
                <w:i/>
                <w:iCs/>
                <w:sz w:val="22"/>
                <w:szCs w:val="22"/>
                <w:lang w:val="en-US"/>
              </w:rPr>
            </w:pPr>
            <w:r w:rsidRPr="00C06FC5">
              <w:rPr>
                <w:i/>
                <w:iCs/>
                <w:sz w:val="22"/>
                <w:szCs w:val="22"/>
                <w:lang w:val="en-US"/>
              </w:rPr>
              <w:t>Option 1a: X=50ms</w:t>
            </w:r>
          </w:p>
          <w:p w14:paraId="16F25A41" w14:textId="77777777" w:rsidR="00C06FC5" w:rsidRPr="00C06FC5" w:rsidRDefault="00C06FC5" w:rsidP="00B52AE0">
            <w:pPr>
              <w:numPr>
                <w:ilvl w:val="2"/>
                <w:numId w:val="3"/>
              </w:numPr>
              <w:tabs>
                <w:tab w:val="num" w:pos="2160"/>
              </w:tabs>
              <w:spacing w:before="120" w:after="0"/>
              <w:jc w:val="both"/>
              <w:rPr>
                <w:i/>
                <w:iCs/>
                <w:sz w:val="22"/>
                <w:szCs w:val="22"/>
                <w:lang w:val="en-US"/>
              </w:rPr>
            </w:pPr>
            <w:r w:rsidRPr="00C06FC5">
              <w:rPr>
                <w:i/>
                <w:iCs/>
                <w:sz w:val="22"/>
                <w:szCs w:val="22"/>
                <w:lang w:val="en-US"/>
              </w:rPr>
              <w:t>Option 1b: X=160ms</w:t>
            </w:r>
          </w:p>
          <w:p w14:paraId="6A7D2988" w14:textId="77777777" w:rsidR="00C06FC5" w:rsidRPr="00C06FC5" w:rsidRDefault="00C06FC5" w:rsidP="00B52AE0">
            <w:pPr>
              <w:numPr>
                <w:ilvl w:val="2"/>
                <w:numId w:val="3"/>
              </w:numPr>
              <w:tabs>
                <w:tab w:val="num" w:pos="2160"/>
              </w:tabs>
              <w:spacing w:before="120" w:after="0"/>
              <w:jc w:val="both"/>
              <w:rPr>
                <w:i/>
                <w:iCs/>
                <w:sz w:val="22"/>
                <w:szCs w:val="22"/>
                <w:lang w:val="en-US"/>
              </w:rPr>
            </w:pPr>
            <w:r w:rsidRPr="00C06FC5">
              <w:rPr>
                <w:i/>
                <w:iCs/>
                <w:sz w:val="22"/>
                <w:szCs w:val="22"/>
                <w:lang w:val="en-US"/>
              </w:rPr>
              <w:t>Option 1c: X=25ms</w:t>
            </w:r>
          </w:p>
          <w:p w14:paraId="5EAF2FE7" w14:textId="77777777" w:rsidR="00C06FC5" w:rsidRPr="00C06FC5" w:rsidRDefault="00C06FC5" w:rsidP="00B52AE0">
            <w:pPr>
              <w:numPr>
                <w:ilvl w:val="2"/>
                <w:numId w:val="3"/>
              </w:numPr>
              <w:tabs>
                <w:tab w:val="num" w:pos="2160"/>
              </w:tabs>
              <w:spacing w:before="120" w:after="0"/>
              <w:jc w:val="both"/>
              <w:rPr>
                <w:i/>
                <w:iCs/>
                <w:sz w:val="22"/>
                <w:szCs w:val="22"/>
                <w:lang w:val="en-US"/>
              </w:rPr>
            </w:pPr>
            <w:r w:rsidRPr="00C06FC5">
              <w:rPr>
                <w:i/>
                <w:iCs/>
                <w:sz w:val="22"/>
                <w:szCs w:val="22"/>
                <w:lang w:val="en-US"/>
              </w:rPr>
              <w:t>Option 1d: X=80ms</w:t>
            </w:r>
          </w:p>
          <w:p w14:paraId="01CDA789" w14:textId="77777777" w:rsidR="00C06FC5" w:rsidRPr="00C06FC5" w:rsidRDefault="00C06FC5" w:rsidP="00B52AE0">
            <w:pPr>
              <w:numPr>
                <w:ilvl w:val="1"/>
                <w:numId w:val="3"/>
              </w:numPr>
              <w:tabs>
                <w:tab w:val="num" w:pos="2160"/>
              </w:tabs>
              <w:spacing w:before="120" w:after="0"/>
              <w:jc w:val="both"/>
              <w:rPr>
                <w:i/>
                <w:iCs/>
                <w:sz w:val="22"/>
                <w:szCs w:val="22"/>
                <w:lang w:val="en-US"/>
              </w:rPr>
            </w:pPr>
            <w:r w:rsidRPr="00C06FC5">
              <w:rPr>
                <w:i/>
                <w:iCs/>
                <w:sz w:val="22"/>
                <w:szCs w:val="22"/>
                <w:lang w:val="en-US"/>
              </w:rPr>
              <w:t>Option 2: The requirements for UE Rx-Tx apply regardless of the time separation between SRS and PRS (LTE approach)</w:t>
            </w:r>
          </w:p>
          <w:p w14:paraId="15FD5CB6" w14:textId="5B57C8A1" w:rsidR="00EB1D05" w:rsidRPr="001B13A7" w:rsidRDefault="00C06FC5" w:rsidP="00B52AE0">
            <w:pPr>
              <w:numPr>
                <w:ilvl w:val="1"/>
                <w:numId w:val="3"/>
              </w:numPr>
              <w:tabs>
                <w:tab w:val="num" w:pos="2160"/>
              </w:tabs>
              <w:spacing w:before="120" w:after="0"/>
              <w:jc w:val="both"/>
              <w:rPr>
                <w:i/>
                <w:iCs/>
                <w:sz w:val="22"/>
                <w:szCs w:val="22"/>
                <w:lang w:val="en-US"/>
              </w:rPr>
            </w:pPr>
            <w:r w:rsidRPr="00C06FC5">
              <w:rPr>
                <w:i/>
                <w:iCs/>
                <w:sz w:val="22"/>
                <w:szCs w:val="22"/>
                <w:lang w:val="en-US"/>
              </w:rPr>
              <w:t xml:space="preserve">Option 3: The requirements for UE Rx-Tx apply provided </w:t>
            </w:r>
            <w:proofErr w:type="gramStart"/>
            <w:r w:rsidRPr="00C06FC5">
              <w:rPr>
                <w:i/>
                <w:iCs/>
                <w:sz w:val="22"/>
                <w:szCs w:val="22"/>
                <w:lang w:val="en-US"/>
              </w:rPr>
              <w:t>MIN(</w:t>
            </w:r>
            <w:proofErr w:type="spellStart"/>
            <w:proofErr w:type="gramEnd"/>
            <w:r w:rsidRPr="00C06FC5">
              <w:rPr>
                <w:i/>
                <w:iCs/>
                <w:sz w:val="22"/>
                <w:szCs w:val="22"/>
                <w:lang w:val="en-US"/>
              </w:rPr>
              <w:t>Tsrs</w:t>
            </w:r>
            <w:proofErr w:type="spellEnd"/>
            <w:r w:rsidRPr="00C06FC5">
              <w:rPr>
                <w:i/>
                <w:iCs/>
                <w:sz w:val="22"/>
                <w:szCs w:val="22"/>
                <w:lang w:val="en-US"/>
              </w:rPr>
              <w:t xml:space="preserve">, </w:t>
            </w:r>
            <w:proofErr w:type="spellStart"/>
            <w:r w:rsidRPr="00C06FC5">
              <w:rPr>
                <w:i/>
                <w:iCs/>
                <w:sz w:val="22"/>
                <w:szCs w:val="22"/>
                <w:lang w:val="en-US"/>
              </w:rPr>
              <w:t>Tprs</w:t>
            </w:r>
            <w:proofErr w:type="spellEnd"/>
            <w:r w:rsidRPr="00C06FC5">
              <w:rPr>
                <w:i/>
                <w:iCs/>
                <w:sz w:val="22"/>
                <w:szCs w:val="22"/>
                <w:lang w:val="en-US"/>
              </w:rPr>
              <w:t xml:space="preserve">) ≤ 2*X; X = FFS (e.g. X = 160 </w:t>
            </w:r>
            <w:proofErr w:type="spellStart"/>
            <w:r w:rsidRPr="00C06FC5">
              <w:rPr>
                <w:i/>
                <w:iCs/>
                <w:sz w:val="22"/>
                <w:szCs w:val="22"/>
                <w:lang w:val="en-US"/>
              </w:rPr>
              <w:t>ms</w:t>
            </w:r>
            <w:proofErr w:type="spellEnd"/>
            <w:r w:rsidRPr="00C06FC5">
              <w:rPr>
                <w:i/>
                <w:iCs/>
                <w:sz w:val="22"/>
                <w:szCs w:val="22"/>
                <w:lang w:val="en-US"/>
              </w:rPr>
              <w:t>).</w:t>
            </w:r>
          </w:p>
        </w:tc>
      </w:tr>
    </w:tbl>
    <w:p w14:paraId="6BCEC7B1" w14:textId="768FB843" w:rsidR="00C90B9A" w:rsidRDefault="001A6FF6" w:rsidP="007C4FF1">
      <w:pPr>
        <w:spacing w:before="240" w:after="0"/>
        <w:jc w:val="both"/>
        <w:rPr>
          <w:sz w:val="22"/>
          <w:szCs w:val="22"/>
          <w:lang w:val="en-US" w:eastAsia="zh-CN"/>
        </w:rPr>
      </w:pPr>
      <w:r>
        <w:rPr>
          <w:sz w:val="22"/>
          <w:szCs w:val="22"/>
          <w:lang w:val="en-US" w:eastAsia="zh-CN"/>
        </w:rPr>
        <w:lastRenderedPageBreak/>
        <w:t>The UE Rx-Tx time difference is defined as follows.</w:t>
      </w:r>
    </w:p>
    <w:p w14:paraId="56C8C176" w14:textId="77777777" w:rsidR="001A6FF6" w:rsidRPr="0008185D" w:rsidRDefault="001A6FF6" w:rsidP="001A6FF6">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6EB2B5D1" w14:textId="77777777" w:rsidR="001A6FF6" w:rsidRPr="0008185D" w:rsidRDefault="001A6FF6" w:rsidP="001A6FF6">
      <w:pPr>
        <w:pStyle w:val="TAL"/>
        <w:rPr>
          <w:szCs w:val="18"/>
          <w:lang w:eastAsia="en-GB"/>
        </w:rPr>
      </w:pPr>
    </w:p>
    <w:p w14:paraId="58F5FD9F" w14:textId="77777777" w:rsidR="001A6FF6" w:rsidRPr="0008185D" w:rsidRDefault="001A6FF6" w:rsidP="001A6FF6">
      <w:pPr>
        <w:pStyle w:val="TAL"/>
        <w:rPr>
          <w:szCs w:val="18"/>
          <w:lang w:eastAsia="en-GB"/>
        </w:rPr>
      </w:pPr>
      <w:r w:rsidRPr="0008185D">
        <w:rPr>
          <w:szCs w:val="18"/>
          <w:lang w:eastAsia="en-GB"/>
        </w:rPr>
        <w:t>Where:</w:t>
      </w:r>
    </w:p>
    <w:p w14:paraId="700FAFC6" w14:textId="77777777" w:rsidR="001A6FF6" w:rsidRPr="006F3AE1" w:rsidRDefault="001A6FF6" w:rsidP="001A6FF6">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r>
        <w:rPr>
          <w:szCs w:val="18"/>
          <w:lang w:val="en-IN" w:eastAsia="en-GB"/>
        </w:rPr>
        <w:t>Transmission Point (TP) [18]</w:t>
      </w:r>
      <w:r w:rsidRPr="006F3AE1">
        <w:rPr>
          <w:lang w:eastAsia="en-GB"/>
        </w:rPr>
        <w:t>, defined by the first detected path in time.</w:t>
      </w:r>
    </w:p>
    <w:p w14:paraId="24D7382A" w14:textId="77777777" w:rsidR="001A6FF6" w:rsidRPr="006F3AE1" w:rsidRDefault="001A6FF6" w:rsidP="001A6FF6">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r>
        <w:rPr>
          <w:lang w:eastAsia="en-GB"/>
        </w:rPr>
        <w:t>TP</w:t>
      </w:r>
      <w:r w:rsidRPr="006F3AE1">
        <w:rPr>
          <w:lang w:eastAsia="en-GB"/>
        </w:rPr>
        <w:t>.</w:t>
      </w:r>
    </w:p>
    <w:p w14:paraId="029CDCA1" w14:textId="30D0BB9F" w:rsidR="001A6FF6" w:rsidRDefault="001A6FF6" w:rsidP="007C4FF1">
      <w:pPr>
        <w:spacing w:before="240" w:after="0"/>
        <w:jc w:val="both"/>
        <w:rPr>
          <w:sz w:val="22"/>
          <w:szCs w:val="22"/>
          <w:lang w:eastAsia="zh-CN"/>
        </w:rPr>
      </w:pPr>
      <w:r>
        <w:rPr>
          <w:sz w:val="22"/>
          <w:szCs w:val="22"/>
          <w:lang w:eastAsia="zh-CN"/>
        </w:rPr>
        <w:t>UE Rx-Tx time difference measurement</w:t>
      </w:r>
      <w:r w:rsidR="00D13E0E">
        <w:rPr>
          <w:sz w:val="22"/>
          <w:szCs w:val="22"/>
          <w:lang w:eastAsia="zh-CN"/>
        </w:rPr>
        <w:t xml:space="preserve"> procedure</w:t>
      </w:r>
      <w:r>
        <w:rPr>
          <w:sz w:val="22"/>
          <w:szCs w:val="22"/>
          <w:lang w:eastAsia="zh-CN"/>
        </w:rPr>
        <w:t xml:space="preserve"> is </w:t>
      </w:r>
      <w:r w:rsidR="00D13E0E">
        <w:rPr>
          <w:sz w:val="22"/>
          <w:szCs w:val="22"/>
          <w:lang w:eastAsia="zh-CN"/>
        </w:rPr>
        <w:t xml:space="preserve">not relevant to SRS periodicity because it is based on PRS measurements. It is no necessary to take SRS periodicity in the measurement period for UE Rx-Tx time difference. It may be possible to address SRS/PRS proximity issue by accounting SRS periodicity into measurement period. However, it would be not very clear </w:t>
      </w:r>
      <w:r w:rsidR="008A2EC0">
        <w:rPr>
          <w:sz w:val="22"/>
          <w:szCs w:val="22"/>
          <w:lang w:eastAsia="zh-CN"/>
        </w:rPr>
        <w:t>to have SRS periodicity in the measurement period requirements. Furthermore</w:t>
      </w:r>
      <w:r w:rsidR="00E53326">
        <w:rPr>
          <w:sz w:val="22"/>
          <w:szCs w:val="22"/>
          <w:lang w:eastAsia="zh-CN"/>
        </w:rPr>
        <w:t>,</w:t>
      </w:r>
      <w:r w:rsidR="008A2EC0">
        <w:rPr>
          <w:sz w:val="22"/>
          <w:szCs w:val="22"/>
          <w:lang w:eastAsia="zh-CN"/>
        </w:rPr>
        <w:t xml:space="preserve"> companies in general prefer to define applica</w:t>
      </w:r>
      <w:r w:rsidR="00E53326">
        <w:rPr>
          <w:sz w:val="22"/>
          <w:szCs w:val="22"/>
          <w:lang w:eastAsia="zh-CN"/>
        </w:rPr>
        <w:t>bility rule for SRS/PRS proximity by restricting SRS in a range of DL PRS resources. In our view applicability rule is better than having SRS periodicity in the measurement period requirements.</w:t>
      </w:r>
    </w:p>
    <w:p w14:paraId="013F8A64" w14:textId="574B361E" w:rsidR="00E53326" w:rsidRPr="00D23A1B" w:rsidRDefault="00E53326" w:rsidP="00E53326">
      <w:pPr>
        <w:spacing w:before="240" w:after="0"/>
        <w:jc w:val="both"/>
        <w:rPr>
          <w:b/>
          <w:bCs/>
          <w:sz w:val="22"/>
          <w:szCs w:val="22"/>
          <w:lang w:val="en-US" w:eastAsia="zh-CN"/>
        </w:rPr>
      </w:pPr>
      <w:r w:rsidRPr="00D23A1B">
        <w:rPr>
          <w:b/>
          <w:bCs/>
          <w:sz w:val="22"/>
          <w:szCs w:val="22"/>
          <w:lang w:val="en-US" w:eastAsia="zh-CN"/>
        </w:rPr>
        <w:t xml:space="preserve">Proposal 1: </w:t>
      </w:r>
      <w:r w:rsidR="00842C64">
        <w:rPr>
          <w:b/>
          <w:bCs/>
          <w:sz w:val="22"/>
          <w:szCs w:val="22"/>
          <w:lang w:val="en-US" w:eastAsia="zh-CN"/>
        </w:rPr>
        <w:t xml:space="preserve">SRS periodicity is not accounted in UE Rx-Tx time difference measurement period </w:t>
      </w:r>
      <w:proofErr w:type="spellStart"/>
      <w:r w:rsidR="00842C64">
        <w:rPr>
          <w:b/>
          <w:bCs/>
          <w:sz w:val="22"/>
          <w:szCs w:val="22"/>
          <w:lang w:val="en-US" w:eastAsia="zh-CN"/>
        </w:rPr>
        <w:t>requiremetns</w:t>
      </w:r>
      <w:proofErr w:type="spellEnd"/>
      <w:r w:rsidRPr="00D23A1B">
        <w:rPr>
          <w:b/>
          <w:bCs/>
          <w:sz w:val="22"/>
          <w:szCs w:val="22"/>
          <w:lang w:val="en-US" w:eastAsia="zh-CN"/>
        </w:rPr>
        <w:t>.</w:t>
      </w:r>
    </w:p>
    <w:p w14:paraId="7DACD0E7" w14:textId="38F61735" w:rsidR="00E53326" w:rsidRDefault="00E53326" w:rsidP="00E53326">
      <w:pPr>
        <w:spacing w:before="240" w:after="0"/>
        <w:jc w:val="both"/>
        <w:rPr>
          <w:sz w:val="22"/>
          <w:szCs w:val="22"/>
          <w:lang w:val="en-US" w:eastAsia="zh-CN"/>
        </w:rPr>
      </w:pPr>
    </w:p>
    <w:p w14:paraId="53E52797" w14:textId="32654BAE" w:rsidR="00F136DE" w:rsidRDefault="00F136DE" w:rsidP="00E53326">
      <w:pPr>
        <w:spacing w:before="240" w:after="0"/>
        <w:jc w:val="both"/>
        <w:rPr>
          <w:sz w:val="22"/>
          <w:szCs w:val="22"/>
          <w:lang w:val="en-US" w:eastAsia="zh-CN"/>
        </w:rPr>
      </w:pPr>
      <w:r>
        <w:rPr>
          <w:sz w:val="22"/>
          <w:szCs w:val="22"/>
          <w:lang w:val="en-US" w:eastAsia="zh-CN"/>
        </w:rPr>
        <w:t xml:space="preserve">SRS dropping </w:t>
      </w:r>
      <w:r w:rsidR="0017621A">
        <w:rPr>
          <w:sz w:val="22"/>
          <w:szCs w:val="22"/>
          <w:lang w:val="en-US" w:eastAsia="zh-CN"/>
        </w:rPr>
        <w:t>has similar impact on multi-RTT positioning accuracy compared with SRS density in time. From UE Rx-Tx time different measurement period requirements perspective, it doesn’t need to be accounted as it depends on UE implementation on how to handle it. The requirements are applicable by assuming no SRS dropping.</w:t>
      </w:r>
      <w:r>
        <w:rPr>
          <w:sz w:val="22"/>
          <w:szCs w:val="22"/>
          <w:lang w:val="en-US" w:eastAsia="zh-CN"/>
        </w:rPr>
        <w:t xml:space="preserve"> </w:t>
      </w:r>
    </w:p>
    <w:p w14:paraId="4865C6A3" w14:textId="68E72D46" w:rsidR="00664C05" w:rsidRPr="00D23A1B" w:rsidRDefault="00664C05" w:rsidP="00664C05">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2</w:t>
      </w:r>
      <w:r w:rsidRPr="00D23A1B">
        <w:rPr>
          <w:b/>
          <w:bCs/>
          <w:sz w:val="22"/>
          <w:szCs w:val="22"/>
          <w:lang w:val="en-US" w:eastAsia="zh-CN"/>
        </w:rPr>
        <w:t xml:space="preserve">: </w:t>
      </w:r>
      <w:r>
        <w:rPr>
          <w:b/>
          <w:bCs/>
          <w:sz w:val="22"/>
          <w:szCs w:val="22"/>
          <w:lang w:val="en-US" w:eastAsia="zh-CN"/>
        </w:rPr>
        <w:t xml:space="preserve">SRS dropping is not accounted in UE Rx-Tx time difference measurement period </w:t>
      </w:r>
      <w:proofErr w:type="spellStart"/>
      <w:r>
        <w:rPr>
          <w:b/>
          <w:bCs/>
          <w:sz w:val="22"/>
          <w:szCs w:val="22"/>
          <w:lang w:val="en-US" w:eastAsia="zh-CN"/>
        </w:rPr>
        <w:t>requiremetns</w:t>
      </w:r>
      <w:proofErr w:type="spellEnd"/>
      <w:r w:rsidRPr="00D23A1B">
        <w:rPr>
          <w:b/>
          <w:bCs/>
          <w:sz w:val="22"/>
          <w:szCs w:val="22"/>
          <w:lang w:val="en-US" w:eastAsia="zh-CN"/>
        </w:rPr>
        <w:t>.</w:t>
      </w:r>
    </w:p>
    <w:p w14:paraId="731528FA" w14:textId="65E985E0" w:rsidR="00664C05" w:rsidRDefault="00664C05" w:rsidP="00E53326">
      <w:pPr>
        <w:spacing w:before="240" w:after="0"/>
        <w:jc w:val="both"/>
        <w:rPr>
          <w:sz w:val="22"/>
          <w:szCs w:val="22"/>
          <w:lang w:val="en-US" w:eastAsia="zh-CN"/>
        </w:rPr>
      </w:pPr>
    </w:p>
    <w:p w14:paraId="4AC1C49B" w14:textId="637C7FBD" w:rsidR="00BB7CA7" w:rsidRDefault="00BB7CA7" w:rsidP="00E53326">
      <w:pPr>
        <w:spacing w:before="240" w:after="0"/>
        <w:jc w:val="both"/>
        <w:rPr>
          <w:sz w:val="22"/>
          <w:szCs w:val="22"/>
          <w:lang w:val="en-US" w:eastAsia="zh-CN"/>
        </w:rPr>
      </w:pPr>
      <w:r>
        <w:rPr>
          <w:sz w:val="22"/>
          <w:szCs w:val="22"/>
          <w:lang w:val="en-US" w:eastAsia="zh-CN"/>
        </w:rPr>
        <w:t xml:space="preserve">It has been discussed extensively regarding the SRS/PRS proximity. Companies recognize that positioning accuracy will degrade largely if PRS and SRS are </w:t>
      </w:r>
      <w:proofErr w:type="spellStart"/>
      <w:r>
        <w:rPr>
          <w:sz w:val="22"/>
          <w:szCs w:val="22"/>
          <w:lang w:val="en-US" w:eastAsia="zh-CN"/>
        </w:rPr>
        <w:t>separted</w:t>
      </w:r>
      <w:proofErr w:type="spellEnd"/>
      <w:r>
        <w:rPr>
          <w:sz w:val="22"/>
          <w:szCs w:val="22"/>
          <w:lang w:val="en-US" w:eastAsia="zh-CN"/>
        </w:rPr>
        <w:t xml:space="preserve"> far away, </w:t>
      </w:r>
      <w:proofErr w:type="gramStart"/>
      <w:r>
        <w:rPr>
          <w:sz w:val="22"/>
          <w:szCs w:val="22"/>
          <w:lang w:val="en-US" w:eastAsia="zh-CN"/>
        </w:rPr>
        <w:t>e.g.</w:t>
      </w:r>
      <w:proofErr w:type="gramEnd"/>
      <w:r>
        <w:rPr>
          <w:sz w:val="22"/>
          <w:szCs w:val="22"/>
          <w:lang w:val="en-US" w:eastAsia="zh-CN"/>
        </w:rPr>
        <w:t xml:space="preserve"> &gt;160ms, due to </w:t>
      </w:r>
      <w:r w:rsidR="002F56DA">
        <w:rPr>
          <w:sz w:val="22"/>
          <w:szCs w:val="22"/>
          <w:lang w:val="en-US" w:eastAsia="zh-CN"/>
        </w:rPr>
        <w:t xml:space="preserve">UE mobility and </w:t>
      </w:r>
      <w:r>
        <w:rPr>
          <w:sz w:val="22"/>
          <w:szCs w:val="22"/>
          <w:lang w:val="en-US" w:eastAsia="zh-CN"/>
        </w:rPr>
        <w:t xml:space="preserve">clock drifting at both UE and </w:t>
      </w:r>
      <w:proofErr w:type="spellStart"/>
      <w:r>
        <w:rPr>
          <w:sz w:val="22"/>
          <w:szCs w:val="22"/>
          <w:lang w:val="en-US" w:eastAsia="zh-CN"/>
        </w:rPr>
        <w:t>gNB</w:t>
      </w:r>
      <w:proofErr w:type="spellEnd"/>
      <w:r>
        <w:rPr>
          <w:sz w:val="22"/>
          <w:szCs w:val="22"/>
          <w:lang w:val="en-US" w:eastAsia="zh-CN"/>
        </w:rPr>
        <w:t xml:space="preserve"> side.</w:t>
      </w:r>
      <w:r w:rsidR="0089638A">
        <w:rPr>
          <w:sz w:val="22"/>
          <w:szCs w:val="22"/>
          <w:lang w:val="en-US" w:eastAsia="zh-CN"/>
        </w:rPr>
        <w:t xml:space="preserve"> No consensus has been achieved on how to restrict the SRS/PRS proximity.</w:t>
      </w:r>
    </w:p>
    <w:p w14:paraId="6099E2FC" w14:textId="751B4165" w:rsidR="00E417C3" w:rsidRDefault="00410D7D" w:rsidP="00E53326">
      <w:pPr>
        <w:spacing w:before="240" w:after="0"/>
        <w:jc w:val="both"/>
        <w:rPr>
          <w:sz w:val="22"/>
          <w:szCs w:val="22"/>
          <w:lang w:val="en-US" w:eastAsia="zh-CN"/>
        </w:rPr>
      </w:pPr>
      <w:r>
        <w:rPr>
          <w:sz w:val="22"/>
          <w:szCs w:val="22"/>
          <w:lang w:val="en-US" w:eastAsia="zh-CN"/>
        </w:rPr>
        <w:t>Since positioning accuracy will degrade if SRS periodicity and PRS periodicity are configured unsuitable, option 2 is not reasonable to handle the issue.</w:t>
      </w:r>
      <w:r w:rsidR="002F56DA">
        <w:rPr>
          <w:sz w:val="22"/>
          <w:szCs w:val="22"/>
          <w:lang w:val="en-US" w:eastAsia="zh-CN"/>
        </w:rPr>
        <w:t xml:space="preserve"> Option 3 </w:t>
      </w:r>
      <w:r w:rsidR="00E417C3">
        <w:rPr>
          <w:sz w:val="22"/>
          <w:szCs w:val="22"/>
          <w:lang w:val="en-US" w:eastAsia="zh-CN"/>
        </w:rPr>
        <w:t xml:space="preserve">can address SRS/PRS proximity issue </w:t>
      </w:r>
      <w:r w:rsidR="00655133">
        <w:rPr>
          <w:sz w:val="22"/>
          <w:szCs w:val="22"/>
          <w:lang w:val="en-US" w:eastAsia="zh-CN"/>
        </w:rPr>
        <w:t>to some extent</w:t>
      </w:r>
      <w:r w:rsidR="00E417C3">
        <w:rPr>
          <w:sz w:val="22"/>
          <w:szCs w:val="22"/>
          <w:lang w:val="en-US" w:eastAsia="zh-CN"/>
        </w:rPr>
        <w:t xml:space="preserve"> as minimum of SRS and PRS periodicity </w:t>
      </w:r>
      <w:r w:rsidR="00D74818">
        <w:rPr>
          <w:sz w:val="22"/>
          <w:szCs w:val="22"/>
          <w:lang w:val="en-US" w:eastAsia="zh-CN"/>
        </w:rPr>
        <w:t xml:space="preserve">is </w:t>
      </w:r>
      <w:r w:rsidR="00E417C3">
        <w:rPr>
          <w:sz w:val="22"/>
          <w:szCs w:val="22"/>
          <w:lang w:val="en-US" w:eastAsia="zh-CN"/>
        </w:rPr>
        <w:t>less than a threshold</w:t>
      </w:r>
      <w:r w:rsidR="00655133">
        <w:rPr>
          <w:sz w:val="22"/>
          <w:szCs w:val="22"/>
          <w:lang w:val="en-US" w:eastAsia="zh-CN"/>
        </w:rPr>
        <w:t xml:space="preserve"> 2*X</w:t>
      </w:r>
      <w:r w:rsidR="00E417C3">
        <w:rPr>
          <w:sz w:val="22"/>
          <w:szCs w:val="22"/>
          <w:lang w:val="en-US" w:eastAsia="zh-CN"/>
        </w:rPr>
        <w:t xml:space="preserve">, e.g., </w:t>
      </w:r>
      <w:r w:rsidR="00655133">
        <w:rPr>
          <w:sz w:val="22"/>
          <w:szCs w:val="22"/>
          <w:lang w:val="en-US" w:eastAsia="zh-CN"/>
        </w:rPr>
        <w:t>X=160</w:t>
      </w:r>
      <w:r w:rsidR="00E417C3">
        <w:rPr>
          <w:sz w:val="22"/>
          <w:szCs w:val="22"/>
          <w:lang w:val="en-US" w:eastAsia="zh-CN"/>
        </w:rPr>
        <w:t xml:space="preserve">ms, </w:t>
      </w:r>
      <w:r w:rsidR="00655133">
        <w:rPr>
          <w:sz w:val="22"/>
          <w:szCs w:val="22"/>
          <w:lang w:val="en-US" w:eastAsia="zh-CN"/>
        </w:rPr>
        <w:t>which means SRS resource</w:t>
      </w:r>
      <w:r w:rsidR="00240FB8">
        <w:rPr>
          <w:sz w:val="22"/>
          <w:szCs w:val="22"/>
          <w:lang w:val="en-US" w:eastAsia="zh-CN"/>
        </w:rPr>
        <w:t xml:space="preserve"> </w:t>
      </w:r>
      <w:r w:rsidR="00655133">
        <w:rPr>
          <w:sz w:val="22"/>
          <w:szCs w:val="22"/>
          <w:lang w:val="en-US" w:eastAsia="zh-CN"/>
        </w:rPr>
        <w:t xml:space="preserve">and at least one of PRS resource separation, or vice versa, would within 160ms. However, it puts </w:t>
      </w:r>
      <w:r w:rsidR="00655133">
        <w:rPr>
          <w:sz w:val="22"/>
          <w:szCs w:val="22"/>
          <w:lang w:val="en-US" w:eastAsia="zh-CN"/>
        </w:rPr>
        <w:lastRenderedPageBreak/>
        <w:t>restriction unnecessarily to network configuration that long periodicity for both SRS and PRS cannot be configured together. Therefore option 1 is better to define restriction on SRS/PRS proximity</w:t>
      </w:r>
      <w:r w:rsidR="00240C12">
        <w:rPr>
          <w:sz w:val="22"/>
          <w:szCs w:val="22"/>
          <w:lang w:val="en-US" w:eastAsia="zh-CN"/>
        </w:rPr>
        <w:t>.</w:t>
      </w:r>
    </w:p>
    <w:p w14:paraId="5F61C50A" w14:textId="077413D7" w:rsidR="00655133" w:rsidRDefault="00276E01" w:rsidP="00E53326">
      <w:pPr>
        <w:spacing w:before="240" w:after="0"/>
        <w:jc w:val="both"/>
        <w:rPr>
          <w:sz w:val="22"/>
          <w:szCs w:val="22"/>
          <w:lang w:val="en-US" w:eastAsia="zh-CN"/>
        </w:rPr>
      </w:pPr>
      <w:r>
        <w:rPr>
          <w:rFonts w:hint="eastAsia"/>
          <w:sz w:val="22"/>
          <w:szCs w:val="22"/>
          <w:lang w:val="en-US" w:eastAsia="zh-CN"/>
        </w:rPr>
        <w:t>Fo</w:t>
      </w:r>
      <w:r>
        <w:rPr>
          <w:sz w:val="22"/>
          <w:szCs w:val="22"/>
          <w:lang w:val="en-US" w:eastAsia="zh-CN"/>
        </w:rPr>
        <w:t xml:space="preserve">r the range of SRS and PRS separation, X=160ms can be used to define measurement period requirements by considering trade-off between positioning accuracy degradation and freedom of network configuration. It is in the end up to network configuration how much positioning accuracy can be achieved. </w:t>
      </w:r>
      <w:r w:rsidR="00D74818">
        <w:rPr>
          <w:sz w:val="22"/>
          <w:szCs w:val="22"/>
          <w:lang w:val="en-US" w:eastAsia="zh-CN"/>
        </w:rPr>
        <w:t>For low mobility UEs, longer separation between SRS and PRS is acceptable.</w:t>
      </w:r>
    </w:p>
    <w:p w14:paraId="400CA74D" w14:textId="5EE31CB0" w:rsidR="00C06FC5" w:rsidRPr="00D23A1B" w:rsidRDefault="00C06FC5" w:rsidP="00C06FC5">
      <w:pPr>
        <w:spacing w:before="240" w:after="0"/>
        <w:jc w:val="both"/>
        <w:rPr>
          <w:b/>
          <w:bCs/>
          <w:sz w:val="22"/>
          <w:szCs w:val="22"/>
          <w:lang w:val="en-US" w:eastAsia="zh-CN"/>
        </w:rPr>
      </w:pPr>
      <w:r w:rsidRPr="00D23A1B">
        <w:rPr>
          <w:b/>
          <w:bCs/>
          <w:sz w:val="22"/>
          <w:szCs w:val="22"/>
          <w:lang w:val="en-US" w:eastAsia="zh-CN"/>
        </w:rPr>
        <w:t xml:space="preserve">Proposal </w:t>
      </w:r>
      <w:r w:rsidR="00276E01">
        <w:rPr>
          <w:b/>
          <w:bCs/>
          <w:sz w:val="22"/>
          <w:szCs w:val="22"/>
          <w:lang w:val="en-US" w:eastAsia="zh-CN"/>
        </w:rPr>
        <w:t>3</w:t>
      </w:r>
      <w:r w:rsidRPr="00D23A1B">
        <w:rPr>
          <w:b/>
          <w:bCs/>
          <w:sz w:val="22"/>
          <w:szCs w:val="22"/>
          <w:lang w:val="en-US" w:eastAsia="zh-CN"/>
        </w:rPr>
        <w:t>:</w:t>
      </w:r>
      <w:r w:rsidR="00276E01" w:rsidRPr="00276E01">
        <w:rPr>
          <w:i/>
          <w:iCs/>
          <w:sz w:val="22"/>
          <w:szCs w:val="22"/>
          <w:lang w:val="en-US"/>
        </w:rPr>
        <w:t xml:space="preserve"> </w:t>
      </w:r>
      <w:r w:rsidR="00276E01">
        <w:rPr>
          <w:b/>
          <w:bCs/>
          <w:sz w:val="22"/>
          <w:szCs w:val="22"/>
          <w:lang w:val="en-US"/>
        </w:rPr>
        <w:t>UE Rx-Tx time difference</w:t>
      </w:r>
      <w:r w:rsidR="00276E01" w:rsidRPr="00276E01">
        <w:rPr>
          <w:b/>
          <w:bCs/>
          <w:sz w:val="22"/>
          <w:szCs w:val="22"/>
          <w:lang w:val="en-US"/>
        </w:rPr>
        <w:t xml:space="preserve"> measurement requirements are applicable only if any SRS transmission is within [-</w:t>
      </w:r>
      <w:r w:rsidR="00276E01">
        <w:rPr>
          <w:b/>
          <w:bCs/>
          <w:sz w:val="22"/>
          <w:szCs w:val="22"/>
          <w:lang w:val="en-US"/>
        </w:rPr>
        <w:t>160</w:t>
      </w:r>
      <w:r w:rsidR="00276E01" w:rsidRPr="00276E01">
        <w:rPr>
          <w:b/>
          <w:bCs/>
          <w:sz w:val="22"/>
          <w:szCs w:val="22"/>
          <w:lang w:val="en-US"/>
        </w:rPr>
        <w:t xml:space="preserve">, </w:t>
      </w:r>
      <w:r w:rsidR="00276E01">
        <w:rPr>
          <w:b/>
          <w:bCs/>
          <w:sz w:val="22"/>
          <w:szCs w:val="22"/>
          <w:lang w:val="en-US"/>
        </w:rPr>
        <w:t>160</w:t>
      </w:r>
      <w:r w:rsidR="00276E01" w:rsidRPr="00276E01">
        <w:rPr>
          <w:b/>
          <w:bCs/>
          <w:sz w:val="22"/>
          <w:szCs w:val="22"/>
          <w:lang w:val="en-US"/>
        </w:rPr>
        <w:t>] msec of at least one DL PRS resource of each of the TRPs in the assistance data. Accuracy requirements is independent of PRS and SRS separation.</w:t>
      </w:r>
    </w:p>
    <w:p w14:paraId="1B85CC21" w14:textId="77777777" w:rsidR="00C90B9A" w:rsidRDefault="00C90B9A" w:rsidP="007C4FF1">
      <w:pPr>
        <w:spacing w:before="240" w:after="0"/>
        <w:jc w:val="both"/>
        <w:rPr>
          <w:sz w:val="22"/>
          <w:szCs w:val="22"/>
          <w:lang w:val="en-US" w:eastAsia="zh-CN"/>
        </w:rPr>
      </w:pPr>
    </w:p>
    <w:p w14:paraId="498B122B" w14:textId="7935E017" w:rsidR="005848F6" w:rsidRPr="00B94C3A" w:rsidRDefault="005848F6" w:rsidP="005848F6">
      <w:pPr>
        <w:pStyle w:val="Heading2"/>
        <w:rPr>
          <w:lang w:eastAsia="zh-CN"/>
        </w:rPr>
      </w:pPr>
      <w:r>
        <w:rPr>
          <w:lang w:eastAsia="zh-CN"/>
        </w:rPr>
        <w:t>2.</w:t>
      </w:r>
      <w:r w:rsidR="000F669E">
        <w:rPr>
          <w:lang w:eastAsia="zh-CN"/>
        </w:rPr>
        <w:t>2</w:t>
      </w:r>
      <w:r>
        <w:rPr>
          <w:lang w:eastAsia="zh-CN"/>
        </w:rPr>
        <w:t xml:space="preserve"> </w:t>
      </w:r>
      <w:r w:rsidR="000F669E">
        <w:rPr>
          <w:lang w:eastAsia="zh-CN"/>
        </w:rPr>
        <w:t>Impact due to TA and N</w:t>
      </w:r>
      <w:r w:rsidR="000F669E" w:rsidRPr="000F669E">
        <w:rPr>
          <w:vertAlign w:val="subscript"/>
          <w:lang w:eastAsia="zh-CN"/>
        </w:rPr>
        <w:t xml:space="preserve">TA-offset </w:t>
      </w:r>
    </w:p>
    <w:p w14:paraId="56CA0150" w14:textId="77777777" w:rsidR="00C06FC5" w:rsidRDefault="00C06FC5" w:rsidP="00C06FC5">
      <w:pPr>
        <w:spacing w:before="240" w:after="0"/>
        <w:jc w:val="both"/>
        <w:rPr>
          <w:sz w:val="22"/>
          <w:szCs w:val="22"/>
          <w:lang w:eastAsia="zh-CN"/>
        </w:rPr>
      </w:pPr>
      <w:r>
        <w:rPr>
          <w:sz w:val="22"/>
          <w:szCs w:val="22"/>
          <w:lang w:eastAsia="zh-CN"/>
        </w:rPr>
        <w:t xml:space="preserve">There are two options under discussion on specifying measurement period requirements for PRS-RSTD measurement. </w:t>
      </w:r>
    </w:p>
    <w:tbl>
      <w:tblPr>
        <w:tblStyle w:val="TableGrid"/>
        <w:tblW w:w="0" w:type="auto"/>
        <w:tblLook w:val="04A0" w:firstRow="1" w:lastRow="0" w:firstColumn="1" w:lastColumn="0" w:noHBand="0" w:noVBand="1"/>
      </w:tblPr>
      <w:tblGrid>
        <w:gridCol w:w="9629"/>
      </w:tblGrid>
      <w:tr w:rsidR="00C06FC5" w14:paraId="15E58206" w14:textId="77777777" w:rsidTr="00C06FC5">
        <w:tc>
          <w:tcPr>
            <w:tcW w:w="9629" w:type="dxa"/>
          </w:tcPr>
          <w:p w14:paraId="718E50AC" w14:textId="77777777" w:rsidR="00C06FC5" w:rsidRPr="00C06FC5" w:rsidRDefault="00C06FC5" w:rsidP="00B52AE0">
            <w:pPr>
              <w:numPr>
                <w:ilvl w:val="0"/>
                <w:numId w:val="3"/>
              </w:numPr>
              <w:tabs>
                <w:tab w:val="num" w:pos="1440"/>
                <w:tab w:val="num" w:pos="2160"/>
              </w:tabs>
              <w:spacing w:before="120" w:after="0"/>
              <w:jc w:val="both"/>
              <w:rPr>
                <w:i/>
                <w:iCs/>
                <w:sz w:val="22"/>
                <w:szCs w:val="22"/>
                <w:lang w:val="en-US"/>
              </w:rPr>
            </w:pPr>
            <w:r w:rsidRPr="00C06FC5">
              <w:rPr>
                <w:i/>
                <w:iCs/>
                <w:sz w:val="22"/>
                <w:szCs w:val="22"/>
                <w:lang w:val="en-US"/>
              </w:rPr>
              <w:t>Measurement period in case of TA change (due to TA command)</w:t>
            </w:r>
          </w:p>
          <w:p w14:paraId="7BB9D363" w14:textId="77777777" w:rsidR="00C06FC5" w:rsidRPr="00C06FC5" w:rsidRDefault="00C06FC5" w:rsidP="00B52AE0">
            <w:pPr>
              <w:numPr>
                <w:ilvl w:val="1"/>
                <w:numId w:val="3"/>
              </w:numPr>
              <w:tabs>
                <w:tab w:val="num" w:pos="2160"/>
              </w:tabs>
              <w:spacing w:before="120" w:after="0"/>
              <w:jc w:val="both"/>
              <w:rPr>
                <w:i/>
                <w:iCs/>
                <w:sz w:val="22"/>
                <w:szCs w:val="22"/>
                <w:lang w:val="en-US"/>
              </w:rPr>
            </w:pPr>
            <w:r w:rsidRPr="00C06FC5">
              <w:rPr>
                <w:i/>
                <w:iCs/>
                <w:sz w:val="22"/>
                <w:szCs w:val="22"/>
                <w:lang w:val="en-US"/>
              </w:rPr>
              <w:t>Option 1: UE should continue Rx-Tx time difference measurement (existing requirements are applicable)</w:t>
            </w:r>
          </w:p>
          <w:p w14:paraId="22EF7560" w14:textId="77777777" w:rsidR="00C06FC5" w:rsidRPr="00C06FC5" w:rsidRDefault="00C06FC5" w:rsidP="00B52AE0">
            <w:pPr>
              <w:numPr>
                <w:ilvl w:val="1"/>
                <w:numId w:val="3"/>
              </w:numPr>
              <w:tabs>
                <w:tab w:val="num" w:pos="2160"/>
              </w:tabs>
              <w:spacing w:before="120" w:after="0"/>
              <w:jc w:val="both"/>
              <w:rPr>
                <w:i/>
                <w:iCs/>
                <w:sz w:val="22"/>
                <w:szCs w:val="22"/>
                <w:lang w:val="en-US"/>
              </w:rPr>
            </w:pPr>
            <w:r w:rsidRPr="00C06FC5">
              <w:rPr>
                <w:i/>
                <w:iCs/>
                <w:sz w:val="22"/>
                <w:szCs w:val="22"/>
                <w:lang w:val="en-US"/>
              </w:rPr>
              <w:t>Option 2a: UE shall discard the UE Rx-Tx time difference measurement if the uplink transmission timing (autonomous or based on network-configured TA) changes during the UE Rx-Tx measurement period</w:t>
            </w:r>
          </w:p>
          <w:p w14:paraId="5776B9D1" w14:textId="77777777" w:rsidR="00C06FC5" w:rsidRPr="00C06FC5" w:rsidRDefault="00C06FC5" w:rsidP="00B52AE0">
            <w:pPr>
              <w:numPr>
                <w:ilvl w:val="1"/>
                <w:numId w:val="3"/>
              </w:numPr>
              <w:tabs>
                <w:tab w:val="num" w:pos="2160"/>
              </w:tabs>
              <w:spacing w:before="120" w:after="0"/>
              <w:jc w:val="both"/>
              <w:rPr>
                <w:i/>
                <w:iCs/>
                <w:sz w:val="22"/>
                <w:szCs w:val="22"/>
                <w:lang w:val="en-US"/>
              </w:rPr>
            </w:pPr>
            <w:r w:rsidRPr="00C06FC5">
              <w:rPr>
                <w:i/>
                <w:iCs/>
                <w:sz w:val="22"/>
                <w:szCs w:val="22"/>
                <w:lang w:val="en-US"/>
              </w:rPr>
              <w:t>Option 2b: UE Rx-Tx time difference measurement requirements are not applicable if TA change is received during the measurement period.</w:t>
            </w:r>
          </w:p>
          <w:p w14:paraId="00C36DE2" w14:textId="77777777" w:rsidR="00C06FC5" w:rsidRPr="00C06FC5" w:rsidRDefault="00C06FC5" w:rsidP="00B52AE0">
            <w:pPr>
              <w:numPr>
                <w:ilvl w:val="0"/>
                <w:numId w:val="3"/>
              </w:numPr>
              <w:tabs>
                <w:tab w:val="num" w:pos="1440"/>
                <w:tab w:val="num" w:pos="2160"/>
              </w:tabs>
              <w:spacing w:before="120" w:after="0"/>
              <w:jc w:val="both"/>
              <w:rPr>
                <w:i/>
                <w:iCs/>
                <w:sz w:val="22"/>
                <w:szCs w:val="22"/>
                <w:lang w:val="en-US"/>
              </w:rPr>
            </w:pPr>
            <w:r w:rsidRPr="00C06FC5">
              <w:rPr>
                <w:i/>
                <w:iCs/>
                <w:sz w:val="22"/>
                <w:szCs w:val="22"/>
                <w:lang w:val="en-US"/>
              </w:rPr>
              <w:t>Measurement period in case of TA change (due to UE autonomous adjustment)</w:t>
            </w:r>
          </w:p>
          <w:p w14:paraId="645B1A3E" w14:textId="77777777" w:rsidR="00C06FC5" w:rsidRPr="00C06FC5" w:rsidRDefault="00C06FC5" w:rsidP="00B52AE0">
            <w:pPr>
              <w:numPr>
                <w:ilvl w:val="1"/>
                <w:numId w:val="3"/>
              </w:numPr>
              <w:tabs>
                <w:tab w:val="num" w:pos="2160"/>
              </w:tabs>
              <w:spacing w:before="120" w:after="0"/>
              <w:jc w:val="both"/>
              <w:rPr>
                <w:i/>
                <w:iCs/>
                <w:sz w:val="22"/>
                <w:szCs w:val="22"/>
                <w:lang w:val="en-US"/>
              </w:rPr>
            </w:pPr>
            <w:r w:rsidRPr="00C06FC5">
              <w:rPr>
                <w:i/>
                <w:iCs/>
                <w:sz w:val="22"/>
                <w:szCs w:val="22"/>
                <w:lang w:val="en-US"/>
              </w:rPr>
              <w:t>Option 1: UE should continue Rx-Tx time difference measurement (existing requirements are applicable)</w:t>
            </w:r>
          </w:p>
          <w:p w14:paraId="160A9DA2" w14:textId="77777777" w:rsidR="00C06FC5" w:rsidRPr="00C06FC5" w:rsidRDefault="00C06FC5" w:rsidP="00B52AE0">
            <w:pPr>
              <w:numPr>
                <w:ilvl w:val="1"/>
                <w:numId w:val="3"/>
              </w:numPr>
              <w:tabs>
                <w:tab w:val="num" w:pos="2160"/>
              </w:tabs>
              <w:spacing w:before="120" w:after="0"/>
              <w:jc w:val="both"/>
              <w:rPr>
                <w:i/>
                <w:iCs/>
                <w:sz w:val="22"/>
                <w:szCs w:val="22"/>
                <w:lang w:val="en-US"/>
              </w:rPr>
            </w:pPr>
            <w:r w:rsidRPr="00C06FC5">
              <w:rPr>
                <w:i/>
                <w:iCs/>
                <w:sz w:val="22"/>
                <w:szCs w:val="22"/>
                <w:lang w:val="en-US"/>
              </w:rPr>
              <w:t>Option 2: UE shall discard the UE Rx-Tx time difference measurement if the uplink transmission timing (autonomous or based on network-configured TA) changes during the UE Rx-Tx measurement period</w:t>
            </w:r>
          </w:p>
          <w:p w14:paraId="304E1E61" w14:textId="77777777" w:rsidR="00C06FC5" w:rsidRPr="00C06FC5" w:rsidRDefault="00C06FC5" w:rsidP="00B52AE0">
            <w:pPr>
              <w:numPr>
                <w:ilvl w:val="1"/>
                <w:numId w:val="3"/>
              </w:numPr>
              <w:tabs>
                <w:tab w:val="num" w:pos="2160"/>
              </w:tabs>
              <w:spacing w:before="120" w:after="0"/>
              <w:jc w:val="both"/>
              <w:rPr>
                <w:i/>
                <w:iCs/>
                <w:sz w:val="22"/>
                <w:szCs w:val="22"/>
                <w:lang w:val="en-US"/>
              </w:rPr>
            </w:pPr>
            <w:r w:rsidRPr="00C06FC5">
              <w:rPr>
                <w:i/>
                <w:iCs/>
                <w:sz w:val="22"/>
                <w:szCs w:val="22"/>
                <w:lang w:val="en-US"/>
              </w:rPr>
              <w:t>Option 3: follow the same conclusion from sub-topic 3-10.</w:t>
            </w:r>
          </w:p>
          <w:p w14:paraId="3FF03080" w14:textId="77777777" w:rsidR="00C06FC5" w:rsidRPr="00C06FC5" w:rsidRDefault="00C06FC5" w:rsidP="00B52AE0">
            <w:pPr>
              <w:numPr>
                <w:ilvl w:val="0"/>
                <w:numId w:val="3"/>
              </w:numPr>
              <w:tabs>
                <w:tab w:val="num" w:pos="1440"/>
                <w:tab w:val="num" w:pos="2160"/>
              </w:tabs>
              <w:spacing w:before="120" w:after="0"/>
              <w:jc w:val="both"/>
              <w:rPr>
                <w:i/>
                <w:iCs/>
                <w:sz w:val="22"/>
                <w:szCs w:val="22"/>
                <w:lang w:val="en-US"/>
              </w:rPr>
            </w:pPr>
            <w:r w:rsidRPr="00C06FC5">
              <w:rPr>
                <w:i/>
                <w:iCs/>
                <w:sz w:val="22"/>
                <w:szCs w:val="22"/>
                <w:lang w:val="en-US"/>
              </w:rPr>
              <w:t xml:space="preserve">Measurement period in case of </w:t>
            </w:r>
            <w:proofErr w:type="spellStart"/>
            <w:r w:rsidRPr="00C06FC5">
              <w:rPr>
                <w:i/>
                <w:iCs/>
                <w:sz w:val="22"/>
                <w:szCs w:val="22"/>
                <w:lang w:val="en-US"/>
              </w:rPr>
              <w:t>N</w:t>
            </w:r>
            <w:r w:rsidRPr="00C06FC5">
              <w:rPr>
                <w:i/>
                <w:iCs/>
                <w:sz w:val="22"/>
                <w:szCs w:val="22"/>
                <w:vertAlign w:val="subscript"/>
                <w:lang w:val="en-US"/>
              </w:rPr>
              <w:t>TA_offset</w:t>
            </w:r>
            <w:proofErr w:type="spellEnd"/>
            <w:r w:rsidRPr="00C06FC5">
              <w:rPr>
                <w:i/>
                <w:iCs/>
                <w:sz w:val="22"/>
                <w:szCs w:val="22"/>
                <w:lang w:val="en-US"/>
              </w:rPr>
              <w:t xml:space="preserve"> change</w:t>
            </w:r>
          </w:p>
          <w:p w14:paraId="7C81805A" w14:textId="77777777" w:rsidR="00C06FC5" w:rsidRPr="00C06FC5" w:rsidRDefault="00C06FC5" w:rsidP="00B52AE0">
            <w:pPr>
              <w:numPr>
                <w:ilvl w:val="1"/>
                <w:numId w:val="3"/>
              </w:numPr>
              <w:tabs>
                <w:tab w:val="num" w:pos="2160"/>
              </w:tabs>
              <w:spacing w:before="120" w:after="0"/>
              <w:jc w:val="both"/>
              <w:rPr>
                <w:i/>
                <w:iCs/>
                <w:sz w:val="22"/>
                <w:szCs w:val="22"/>
                <w:lang w:val="en-US"/>
              </w:rPr>
            </w:pPr>
            <w:r w:rsidRPr="00C06FC5">
              <w:rPr>
                <w:i/>
                <w:iCs/>
                <w:sz w:val="22"/>
                <w:szCs w:val="22"/>
                <w:lang w:val="en-US"/>
              </w:rPr>
              <w:t xml:space="preserve">Option 1: No need to clarify UE Rx-Tx measurement requirements in case of </w:t>
            </w:r>
            <w:proofErr w:type="spellStart"/>
            <w:r w:rsidRPr="00C06FC5">
              <w:rPr>
                <w:i/>
                <w:iCs/>
                <w:sz w:val="22"/>
                <w:szCs w:val="22"/>
                <w:lang w:val="en-US"/>
              </w:rPr>
              <w:t>NTA_offset</w:t>
            </w:r>
            <w:proofErr w:type="spellEnd"/>
            <w:r w:rsidRPr="00C06FC5">
              <w:rPr>
                <w:i/>
                <w:iCs/>
                <w:sz w:val="22"/>
                <w:szCs w:val="22"/>
                <w:lang w:val="en-US"/>
              </w:rPr>
              <w:t xml:space="preserve"> change</w:t>
            </w:r>
          </w:p>
          <w:p w14:paraId="5E5C4C3C" w14:textId="0A79ECCE" w:rsidR="00C06FC5" w:rsidRPr="001B13A7" w:rsidRDefault="00C06FC5" w:rsidP="00B52AE0">
            <w:pPr>
              <w:numPr>
                <w:ilvl w:val="1"/>
                <w:numId w:val="3"/>
              </w:numPr>
              <w:tabs>
                <w:tab w:val="num" w:pos="2160"/>
              </w:tabs>
              <w:spacing w:before="120" w:after="0"/>
              <w:jc w:val="both"/>
              <w:rPr>
                <w:i/>
                <w:iCs/>
                <w:sz w:val="22"/>
                <w:szCs w:val="22"/>
                <w:lang w:val="en-US"/>
              </w:rPr>
            </w:pPr>
            <w:r w:rsidRPr="00C06FC5">
              <w:rPr>
                <w:i/>
                <w:iCs/>
                <w:sz w:val="22"/>
                <w:szCs w:val="22"/>
                <w:lang w:val="en-US"/>
              </w:rPr>
              <w:t xml:space="preserve">Option 2: It is clarified in UE Rx-Tx measurement requirements (section 9.9.4 in TS 38.133) that the UE shall discard the UE Rx-Tx measurement if the </w:t>
            </w:r>
            <w:proofErr w:type="spellStart"/>
            <w:r w:rsidRPr="00C06FC5">
              <w:rPr>
                <w:i/>
                <w:iCs/>
                <w:sz w:val="22"/>
                <w:szCs w:val="22"/>
                <w:lang w:val="en-US"/>
              </w:rPr>
              <w:t>NTA_offset</w:t>
            </w:r>
            <w:proofErr w:type="spellEnd"/>
            <w:r w:rsidRPr="00C06FC5">
              <w:rPr>
                <w:i/>
                <w:iCs/>
                <w:sz w:val="22"/>
                <w:szCs w:val="22"/>
                <w:lang w:val="en-US"/>
              </w:rPr>
              <w:t xml:space="preserve"> changes during the measurement period.</w:t>
            </w:r>
          </w:p>
        </w:tc>
      </w:tr>
    </w:tbl>
    <w:p w14:paraId="20B9ED0F" w14:textId="45C621E3" w:rsidR="00C06FC5" w:rsidRDefault="009D15F2" w:rsidP="00C06FC5">
      <w:pPr>
        <w:spacing w:before="240" w:after="0"/>
        <w:jc w:val="both"/>
        <w:rPr>
          <w:sz w:val="22"/>
          <w:szCs w:val="22"/>
          <w:lang w:val="en-US" w:eastAsia="zh-CN"/>
        </w:rPr>
      </w:pPr>
      <w:r>
        <w:rPr>
          <w:sz w:val="22"/>
          <w:szCs w:val="22"/>
          <w:lang w:val="en-US" w:eastAsia="zh-CN"/>
        </w:rPr>
        <w:t xml:space="preserve">It was already agreed in [2] and [3] the UE Rx-Tx time difference accuracy requirements and </w:t>
      </w:r>
      <w:proofErr w:type="spellStart"/>
      <w:r>
        <w:rPr>
          <w:sz w:val="22"/>
          <w:szCs w:val="22"/>
          <w:lang w:val="en-US" w:eastAsia="zh-CN"/>
        </w:rPr>
        <w:t>gNB</w:t>
      </w:r>
      <w:proofErr w:type="spellEnd"/>
      <w:r>
        <w:rPr>
          <w:sz w:val="22"/>
          <w:szCs w:val="22"/>
          <w:lang w:val="en-US" w:eastAsia="zh-CN"/>
        </w:rPr>
        <w:t xml:space="preserve"> Rx-Tx time difference accuracy requirements shall not apply if UE transmit timing changes due to TA command. </w:t>
      </w:r>
      <w:r w:rsidR="005D2BCC">
        <w:rPr>
          <w:sz w:val="22"/>
          <w:szCs w:val="22"/>
          <w:lang w:val="en-US" w:eastAsia="zh-CN"/>
        </w:rPr>
        <w:t>If measurement requirements apply then corresponding accuracy requirements should be met. Since it was agreed accuracy requirements shall not apply in this case then measurement requirements are applicable neither.</w:t>
      </w:r>
    </w:p>
    <w:p w14:paraId="170E7B30" w14:textId="382FADF5" w:rsidR="008014A5" w:rsidRPr="005620CD" w:rsidRDefault="005D2BCC" w:rsidP="008014A5">
      <w:pPr>
        <w:spacing w:before="240" w:after="0"/>
        <w:jc w:val="both"/>
        <w:rPr>
          <w:sz w:val="22"/>
          <w:szCs w:val="22"/>
          <w:lang w:eastAsia="zh-CN"/>
        </w:rPr>
      </w:pPr>
      <w:r>
        <w:rPr>
          <w:sz w:val="22"/>
          <w:szCs w:val="22"/>
          <w:lang w:val="en-US" w:eastAsia="zh-CN"/>
        </w:rPr>
        <w:t xml:space="preserve">If measurement requirements shall not apply when UE uplink transmit time changes due to TA command, what the UE </w:t>
      </w:r>
      <w:proofErr w:type="spellStart"/>
      <w:r>
        <w:rPr>
          <w:sz w:val="22"/>
          <w:szCs w:val="22"/>
          <w:lang w:val="en-US" w:eastAsia="zh-CN"/>
        </w:rPr>
        <w:t>behaviour</w:t>
      </w:r>
      <w:proofErr w:type="spellEnd"/>
      <w:r w:rsidR="008014A5">
        <w:rPr>
          <w:sz w:val="22"/>
          <w:szCs w:val="22"/>
          <w:lang w:val="en-US" w:eastAsia="zh-CN"/>
        </w:rPr>
        <w:t xml:space="preserve"> should be</w:t>
      </w:r>
      <w:r>
        <w:rPr>
          <w:sz w:val="22"/>
          <w:szCs w:val="22"/>
          <w:lang w:val="en-US" w:eastAsia="zh-CN"/>
        </w:rPr>
        <w:t xml:space="preserve">. Since the measurement results are useless due to bad accuracy, UE may not need to continue ongoing measurement. </w:t>
      </w:r>
      <w:r w:rsidR="0059012C">
        <w:rPr>
          <w:sz w:val="22"/>
          <w:szCs w:val="22"/>
          <w:lang w:val="en-US" w:eastAsia="zh-CN"/>
        </w:rPr>
        <w:t>It is reasonable that UE aborts ongoing measurement and starts new measurement with updated TA.</w:t>
      </w:r>
      <w:r w:rsidR="008014A5">
        <w:rPr>
          <w:sz w:val="22"/>
          <w:szCs w:val="22"/>
          <w:lang w:val="en-US" w:eastAsia="zh-CN"/>
        </w:rPr>
        <w:t xml:space="preserve"> If UE continues ongoing measurement then the question would be whether the measurement results with TA change during measurement period should be reported. In our view UE should </w:t>
      </w:r>
      <w:r w:rsidR="008014A5">
        <w:rPr>
          <w:sz w:val="22"/>
          <w:szCs w:val="22"/>
          <w:lang w:val="en-US" w:eastAsia="zh-CN"/>
        </w:rPr>
        <w:lastRenderedPageBreak/>
        <w:t xml:space="preserve">not report the results. However, this is not UE </w:t>
      </w:r>
      <w:proofErr w:type="spellStart"/>
      <w:r w:rsidR="008014A5">
        <w:rPr>
          <w:sz w:val="22"/>
          <w:szCs w:val="22"/>
          <w:lang w:val="en-US" w:eastAsia="zh-CN"/>
        </w:rPr>
        <w:t>behaviour</w:t>
      </w:r>
      <w:proofErr w:type="spellEnd"/>
      <w:r w:rsidR="008014A5">
        <w:rPr>
          <w:sz w:val="22"/>
          <w:szCs w:val="22"/>
          <w:lang w:val="en-US" w:eastAsia="zh-CN"/>
        </w:rPr>
        <w:t xml:space="preserve"> that should be decided in RAN4. RAN4 may need to inform RAN1 the issue and RAN1 will decide what the UE </w:t>
      </w:r>
      <w:proofErr w:type="spellStart"/>
      <w:r w:rsidR="008014A5">
        <w:rPr>
          <w:sz w:val="22"/>
          <w:szCs w:val="22"/>
          <w:lang w:val="en-US" w:eastAsia="zh-CN"/>
        </w:rPr>
        <w:t>behaviour</w:t>
      </w:r>
      <w:proofErr w:type="spellEnd"/>
      <w:r w:rsidR="008014A5">
        <w:rPr>
          <w:sz w:val="22"/>
          <w:szCs w:val="22"/>
          <w:lang w:val="en-US" w:eastAsia="zh-CN"/>
        </w:rPr>
        <w:t xml:space="preserve"> should be. </w:t>
      </w:r>
    </w:p>
    <w:p w14:paraId="2B566A34" w14:textId="2234283A" w:rsidR="008014A5" w:rsidRDefault="008014A5" w:rsidP="008014A5">
      <w:pPr>
        <w:spacing w:before="240" w:after="0"/>
        <w:jc w:val="both"/>
        <w:rPr>
          <w:i/>
          <w:iCs/>
          <w:sz w:val="22"/>
          <w:szCs w:val="22"/>
          <w:lang w:val="en-US"/>
        </w:rPr>
      </w:pPr>
      <w:r w:rsidRPr="00D23A1B">
        <w:rPr>
          <w:b/>
          <w:bCs/>
          <w:sz w:val="22"/>
          <w:szCs w:val="22"/>
          <w:lang w:val="en-US" w:eastAsia="zh-CN"/>
        </w:rPr>
        <w:t xml:space="preserve">Proposal </w:t>
      </w:r>
      <w:r w:rsidR="000A0A6C">
        <w:rPr>
          <w:b/>
          <w:bCs/>
          <w:sz w:val="22"/>
          <w:szCs w:val="22"/>
          <w:lang w:val="en-US" w:eastAsia="zh-CN"/>
        </w:rPr>
        <w:t>4</w:t>
      </w:r>
      <w:r w:rsidRPr="00D23A1B">
        <w:rPr>
          <w:b/>
          <w:bCs/>
          <w:sz w:val="22"/>
          <w:szCs w:val="22"/>
          <w:lang w:val="en-US" w:eastAsia="zh-CN"/>
        </w:rPr>
        <w:t>:</w:t>
      </w:r>
      <w:r w:rsidRPr="00276E01">
        <w:rPr>
          <w:i/>
          <w:iCs/>
          <w:sz w:val="22"/>
          <w:szCs w:val="22"/>
          <w:lang w:val="en-US"/>
        </w:rPr>
        <w:t xml:space="preserve"> </w:t>
      </w:r>
      <w:r w:rsidRPr="008014A5">
        <w:rPr>
          <w:b/>
          <w:bCs/>
          <w:sz w:val="22"/>
          <w:szCs w:val="22"/>
          <w:lang w:val="en-US" w:eastAsia="zh-CN"/>
        </w:rPr>
        <w:t>UE Rx-Tx time difference measurement requirements are not applicable if TA change is received during the measurement period.</w:t>
      </w:r>
    </w:p>
    <w:p w14:paraId="04714BAD" w14:textId="2B666C12" w:rsidR="008014A5" w:rsidRPr="00D23A1B" w:rsidRDefault="008014A5" w:rsidP="008014A5">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4</w:t>
      </w:r>
      <w:r w:rsidRPr="00D23A1B">
        <w:rPr>
          <w:b/>
          <w:bCs/>
          <w:sz w:val="22"/>
          <w:szCs w:val="22"/>
          <w:lang w:val="en-US" w:eastAsia="zh-CN"/>
        </w:rPr>
        <w:t>:</w:t>
      </w:r>
      <w:r>
        <w:rPr>
          <w:b/>
          <w:bCs/>
          <w:sz w:val="22"/>
          <w:szCs w:val="22"/>
          <w:lang w:val="en-US" w:eastAsia="zh-CN"/>
        </w:rPr>
        <w:t xml:space="preserve"> RAN4 inform RAN1 the agreement that UE measurement period requirements and accuracy requirements are not applicable when TA change due to TA command during the measurement period.</w:t>
      </w:r>
    </w:p>
    <w:p w14:paraId="17C819DD" w14:textId="134CC263" w:rsidR="00C06FC5" w:rsidRDefault="00C06FC5" w:rsidP="00C06FC5">
      <w:pPr>
        <w:spacing w:before="240" w:after="0"/>
        <w:jc w:val="both"/>
        <w:rPr>
          <w:sz w:val="22"/>
          <w:szCs w:val="22"/>
          <w:lang w:val="en-US" w:eastAsia="zh-CN"/>
        </w:rPr>
      </w:pPr>
    </w:p>
    <w:p w14:paraId="02CA0D43" w14:textId="3F0B8FD8" w:rsidR="008014A5" w:rsidRDefault="008014A5" w:rsidP="00C06FC5">
      <w:pPr>
        <w:spacing w:before="240" w:after="0"/>
        <w:jc w:val="both"/>
        <w:rPr>
          <w:sz w:val="22"/>
          <w:szCs w:val="22"/>
          <w:lang w:val="en-US" w:eastAsia="zh-CN"/>
        </w:rPr>
      </w:pPr>
      <w:r>
        <w:rPr>
          <w:sz w:val="22"/>
          <w:szCs w:val="22"/>
          <w:lang w:val="en-US" w:eastAsia="zh-CN"/>
        </w:rPr>
        <w:t xml:space="preserve">For the TA change due to UE autonomous </w:t>
      </w:r>
      <w:r w:rsidR="00D01C8C">
        <w:rPr>
          <w:sz w:val="22"/>
          <w:szCs w:val="22"/>
          <w:lang w:val="en-US" w:eastAsia="zh-CN"/>
        </w:rPr>
        <w:t xml:space="preserve">adjustment </w:t>
      </w:r>
      <w:r w:rsidRPr="008014A5">
        <w:rPr>
          <w:sz w:val="22"/>
          <w:szCs w:val="22"/>
          <w:lang w:val="en-US" w:eastAsia="zh-CN"/>
        </w:rPr>
        <w:t xml:space="preserve">UE should continue Rx-Tx time difference measurement </w:t>
      </w:r>
      <w:r>
        <w:rPr>
          <w:sz w:val="22"/>
          <w:szCs w:val="22"/>
          <w:lang w:val="en-US" w:eastAsia="zh-CN"/>
        </w:rPr>
        <w:t>and measurement period</w:t>
      </w:r>
      <w:r w:rsidRPr="008014A5">
        <w:rPr>
          <w:sz w:val="22"/>
          <w:szCs w:val="22"/>
          <w:lang w:val="en-US" w:eastAsia="zh-CN"/>
        </w:rPr>
        <w:t xml:space="preserve"> requirements</w:t>
      </w:r>
      <w:r>
        <w:rPr>
          <w:sz w:val="22"/>
          <w:szCs w:val="22"/>
          <w:lang w:val="en-US" w:eastAsia="zh-CN"/>
        </w:rPr>
        <w:t xml:space="preserve"> and accuracy requirements should be </w:t>
      </w:r>
      <w:r w:rsidRPr="008014A5">
        <w:rPr>
          <w:sz w:val="22"/>
          <w:szCs w:val="22"/>
          <w:lang w:val="en-US" w:eastAsia="zh-CN"/>
        </w:rPr>
        <w:t>applicable</w:t>
      </w:r>
      <w:r>
        <w:rPr>
          <w:sz w:val="22"/>
          <w:szCs w:val="22"/>
          <w:lang w:val="en-US" w:eastAsia="zh-CN"/>
        </w:rPr>
        <w:t>.</w:t>
      </w:r>
      <w:r w:rsidR="00D01C8C">
        <w:rPr>
          <w:sz w:val="22"/>
          <w:szCs w:val="22"/>
          <w:lang w:val="en-US" w:eastAsia="zh-CN"/>
        </w:rPr>
        <w:t xml:space="preserve"> The UE autonomous adjustment of uplink transmit timing could </w:t>
      </w:r>
      <w:proofErr w:type="spellStart"/>
      <w:r w:rsidR="00D01C8C">
        <w:rPr>
          <w:sz w:val="22"/>
          <w:szCs w:val="22"/>
          <w:lang w:val="en-US" w:eastAsia="zh-CN"/>
        </w:rPr>
        <w:t>happle</w:t>
      </w:r>
      <w:proofErr w:type="spellEnd"/>
      <w:r w:rsidR="00D01C8C">
        <w:rPr>
          <w:sz w:val="22"/>
          <w:szCs w:val="22"/>
          <w:lang w:val="en-US" w:eastAsia="zh-CN"/>
        </w:rPr>
        <w:t xml:space="preserve"> very frequently, e.g., every 200ms. If UE aborts ongoing measurement, then UE may never finish the measurement. </w:t>
      </w:r>
      <w:proofErr w:type="spellStart"/>
      <w:r w:rsidR="00D01C8C">
        <w:rPr>
          <w:sz w:val="22"/>
          <w:szCs w:val="22"/>
          <w:lang w:val="en-US" w:eastAsia="zh-CN"/>
        </w:rPr>
        <w:t>Furthmore</w:t>
      </w:r>
      <w:proofErr w:type="spellEnd"/>
      <w:r w:rsidR="00D01C8C">
        <w:rPr>
          <w:sz w:val="22"/>
          <w:szCs w:val="22"/>
          <w:lang w:val="en-US" w:eastAsia="zh-CN"/>
        </w:rPr>
        <w:t xml:space="preserve"> since the UE autonomous adjustment is gradual, the impact on positioning accuracy would be acceptable.</w:t>
      </w:r>
    </w:p>
    <w:p w14:paraId="5F52DD46" w14:textId="2841F92D" w:rsidR="008014A5" w:rsidRDefault="00D01C8C" w:rsidP="00C06FC5">
      <w:pPr>
        <w:spacing w:before="240" w:after="0"/>
        <w:jc w:val="both"/>
        <w:rPr>
          <w:sz w:val="22"/>
          <w:szCs w:val="22"/>
          <w:lang w:val="en-US" w:eastAsia="zh-CN"/>
        </w:rPr>
      </w:pPr>
      <w:r w:rsidRPr="00D23A1B">
        <w:rPr>
          <w:b/>
          <w:bCs/>
          <w:sz w:val="22"/>
          <w:szCs w:val="22"/>
          <w:lang w:val="en-US" w:eastAsia="zh-CN"/>
        </w:rPr>
        <w:t xml:space="preserve">Proposal </w:t>
      </w:r>
      <w:r>
        <w:rPr>
          <w:b/>
          <w:bCs/>
          <w:sz w:val="22"/>
          <w:szCs w:val="22"/>
          <w:lang w:val="en-US" w:eastAsia="zh-CN"/>
        </w:rPr>
        <w:t>5</w:t>
      </w:r>
      <w:r w:rsidRPr="00D23A1B">
        <w:rPr>
          <w:b/>
          <w:bCs/>
          <w:sz w:val="22"/>
          <w:szCs w:val="22"/>
          <w:lang w:val="en-US" w:eastAsia="zh-CN"/>
        </w:rPr>
        <w:t>:</w:t>
      </w:r>
      <w:r>
        <w:rPr>
          <w:b/>
          <w:bCs/>
          <w:sz w:val="22"/>
          <w:szCs w:val="22"/>
          <w:lang w:val="en-US" w:eastAsia="zh-CN"/>
        </w:rPr>
        <w:t xml:space="preserve"> </w:t>
      </w:r>
      <w:r w:rsidRPr="008014A5">
        <w:rPr>
          <w:b/>
          <w:bCs/>
          <w:sz w:val="22"/>
          <w:szCs w:val="22"/>
          <w:lang w:val="en-US" w:eastAsia="zh-CN"/>
        </w:rPr>
        <w:t xml:space="preserve">UE Rx-Tx time difference measurement requirements </w:t>
      </w:r>
      <w:r>
        <w:rPr>
          <w:b/>
          <w:bCs/>
          <w:sz w:val="22"/>
          <w:szCs w:val="22"/>
          <w:lang w:val="en-US" w:eastAsia="zh-CN"/>
        </w:rPr>
        <w:t>shall apply</w:t>
      </w:r>
      <w:r w:rsidRPr="008014A5">
        <w:rPr>
          <w:b/>
          <w:bCs/>
          <w:sz w:val="22"/>
          <w:szCs w:val="22"/>
          <w:lang w:val="en-US" w:eastAsia="zh-CN"/>
        </w:rPr>
        <w:t xml:space="preserve"> if </w:t>
      </w:r>
      <w:r>
        <w:rPr>
          <w:b/>
          <w:bCs/>
          <w:sz w:val="22"/>
          <w:szCs w:val="22"/>
          <w:lang w:val="en-US" w:eastAsia="zh-CN"/>
        </w:rPr>
        <w:t>UE autonomous adjustment happens during measurement period.</w:t>
      </w:r>
    </w:p>
    <w:p w14:paraId="55044296" w14:textId="22C8D0AD" w:rsidR="008014A5" w:rsidRDefault="008014A5" w:rsidP="00C06FC5">
      <w:pPr>
        <w:spacing w:before="240" w:after="0"/>
        <w:jc w:val="both"/>
        <w:rPr>
          <w:sz w:val="22"/>
          <w:szCs w:val="22"/>
          <w:lang w:val="en-US" w:eastAsia="zh-CN"/>
        </w:rPr>
      </w:pPr>
    </w:p>
    <w:p w14:paraId="0CFA3160" w14:textId="490C105F" w:rsidR="006F3FBB" w:rsidRDefault="006F3FBB" w:rsidP="00C06FC5">
      <w:pPr>
        <w:spacing w:before="240" w:after="0"/>
        <w:jc w:val="both"/>
        <w:rPr>
          <w:sz w:val="22"/>
          <w:szCs w:val="22"/>
          <w:lang w:val="en-US" w:eastAsia="zh-CN"/>
        </w:rPr>
      </w:pPr>
      <w:r>
        <w:rPr>
          <w:sz w:val="22"/>
          <w:szCs w:val="22"/>
          <w:lang w:val="en-US" w:eastAsia="zh-CN"/>
        </w:rPr>
        <w:t xml:space="preserve">NTA-offset is basically fixed after network is deployed. We don’t any reason to change NTA-offset. </w:t>
      </w:r>
      <w:proofErr w:type="gramStart"/>
      <w:r>
        <w:rPr>
          <w:sz w:val="22"/>
          <w:szCs w:val="22"/>
          <w:lang w:val="en-US" w:eastAsia="zh-CN"/>
        </w:rPr>
        <w:t>So</w:t>
      </w:r>
      <w:proofErr w:type="gramEnd"/>
      <w:r>
        <w:rPr>
          <w:sz w:val="22"/>
          <w:szCs w:val="22"/>
          <w:lang w:val="en-US" w:eastAsia="zh-CN"/>
        </w:rPr>
        <w:t xml:space="preserve"> there is no need to clarify UE Rx-Tx measurement requirements in case of NTA-offset change.</w:t>
      </w:r>
    </w:p>
    <w:p w14:paraId="70B88F82" w14:textId="2E39118A" w:rsidR="006F3FBB" w:rsidRPr="006F3FBB" w:rsidRDefault="006F3FBB" w:rsidP="00C06FC5">
      <w:pPr>
        <w:spacing w:before="240" w:after="0"/>
        <w:jc w:val="both"/>
        <w:rPr>
          <w:b/>
          <w:bCs/>
          <w:sz w:val="22"/>
          <w:szCs w:val="22"/>
          <w:lang w:val="en-US" w:eastAsia="zh-CN"/>
        </w:rPr>
      </w:pPr>
      <w:r>
        <w:rPr>
          <w:b/>
          <w:bCs/>
          <w:sz w:val="22"/>
          <w:szCs w:val="22"/>
          <w:lang w:val="en-US" w:eastAsia="zh-CN"/>
        </w:rPr>
        <w:t xml:space="preserve">Proposal 6: </w:t>
      </w:r>
      <w:r w:rsidRPr="006F3FBB">
        <w:rPr>
          <w:b/>
          <w:bCs/>
          <w:sz w:val="22"/>
          <w:szCs w:val="22"/>
          <w:lang w:val="en-US" w:eastAsia="zh-CN"/>
        </w:rPr>
        <w:t xml:space="preserve">No need to clarify UE Rx-Tx measurement requirements in case of </w:t>
      </w:r>
      <w:proofErr w:type="spellStart"/>
      <w:r w:rsidRPr="006F3FBB">
        <w:rPr>
          <w:b/>
          <w:bCs/>
          <w:sz w:val="22"/>
          <w:szCs w:val="22"/>
          <w:lang w:val="en-US" w:eastAsia="zh-CN"/>
        </w:rPr>
        <w:t>NTA_offset</w:t>
      </w:r>
      <w:proofErr w:type="spellEnd"/>
      <w:r w:rsidRPr="006F3FBB">
        <w:rPr>
          <w:b/>
          <w:bCs/>
          <w:sz w:val="22"/>
          <w:szCs w:val="22"/>
          <w:lang w:val="en-US" w:eastAsia="zh-CN"/>
        </w:rPr>
        <w:t xml:space="preserve"> change</w:t>
      </w:r>
    </w:p>
    <w:p w14:paraId="235C4C7B" w14:textId="77777777" w:rsidR="006F3FBB" w:rsidRDefault="006F3FBB" w:rsidP="00C06FC5">
      <w:pPr>
        <w:spacing w:before="240" w:after="0"/>
        <w:jc w:val="both"/>
        <w:rPr>
          <w:sz w:val="22"/>
          <w:szCs w:val="22"/>
          <w:lang w:val="en-US" w:eastAsia="zh-CN"/>
        </w:rPr>
      </w:pPr>
    </w:p>
    <w:p w14:paraId="1C5B76C8" w14:textId="10A2106E" w:rsidR="000F669E" w:rsidRPr="000F669E" w:rsidRDefault="000F669E" w:rsidP="000F669E">
      <w:pPr>
        <w:pStyle w:val="Heading2"/>
        <w:rPr>
          <w:lang w:eastAsia="zh-CN"/>
        </w:rPr>
      </w:pPr>
      <w:r>
        <w:rPr>
          <w:lang w:eastAsia="zh-CN"/>
        </w:rPr>
        <w:t xml:space="preserve">2.3 </w:t>
      </w:r>
      <w:r w:rsidRPr="000F669E">
        <w:rPr>
          <w:lang w:eastAsia="zh-CN"/>
        </w:rPr>
        <w:t>UE Rx-Tx at cell change</w:t>
      </w:r>
    </w:p>
    <w:tbl>
      <w:tblPr>
        <w:tblStyle w:val="TableGrid"/>
        <w:tblW w:w="0" w:type="auto"/>
        <w:tblLook w:val="04A0" w:firstRow="1" w:lastRow="0" w:firstColumn="1" w:lastColumn="0" w:noHBand="0" w:noVBand="1"/>
      </w:tblPr>
      <w:tblGrid>
        <w:gridCol w:w="9629"/>
      </w:tblGrid>
      <w:tr w:rsidR="00C06FC5" w14:paraId="12BAFB23" w14:textId="77777777" w:rsidTr="00C06FC5">
        <w:tc>
          <w:tcPr>
            <w:tcW w:w="9629" w:type="dxa"/>
          </w:tcPr>
          <w:p w14:paraId="45EBB098" w14:textId="77777777" w:rsidR="00C06FC5" w:rsidRPr="00C06FC5" w:rsidRDefault="00C06FC5" w:rsidP="00B52AE0">
            <w:pPr>
              <w:numPr>
                <w:ilvl w:val="0"/>
                <w:numId w:val="3"/>
              </w:numPr>
              <w:tabs>
                <w:tab w:val="num" w:pos="1440"/>
                <w:tab w:val="num" w:pos="2160"/>
              </w:tabs>
              <w:spacing w:before="120" w:after="0"/>
              <w:jc w:val="both"/>
              <w:rPr>
                <w:i/>
                <w:iCs/>
                <w:sz w:val="22"/>
                <w:szCs w:val="22"/>
                <w:lang w:val="en-US"/>
              </w:rPr>
            </w:pPr>
            <w:r w:rsidRPr="00C06FC5">
              <w:rPr>
                <w:i/>
                <w:iCs/>
                <w:sz w:val="22"/>
                <w:szCs w:val="22"/>
                <w:lang w:val="en-US"/>
              </w:rPr>
              <w:t>UE Rx-Tx at cell change</w:t>
            </w:r>
          </w:p>
          <w:p w14:paraId="7DE28477" w14:textId="77777777" w:rsidR="00C06FC5" w:rsidRPr="00C06FC5" w:rsidRDefault="00C06FC5" w:rsidP="00B52AE0">
            <w:pPr>
              <w:numPr>
                <w:ilvl w:val="1"/>
                <w:numId w:val="3"/>
              </w:numPr>
              <w:tabs>
                <w:tab w:val="num" w:pos="2160"/>
              </w:tabs>
              <w:spacing w:before="120" w:after="0"/>
              <w:jc w:val="both"/>
              <w:rPr>
                <w:i/>
                <w:iCs/>
                <w:sz w:val="22"/>
                <w:szCs w:val="22"/>
                <w:lang w:val="en-US"/>
              </w:rPr>
            </w:pPr>
            <w:r w:rsidRPr="00C06FC5">
              <w:rPr>
                <w:i/>
                <w:iCs/>
                <w:sz w:val="22"/>
                <w:szCs w:val="22"/>
                <w:lang w:val="en-US"/>
              </w:rPr>
              <w:t>Option 1: The UE Rx-Tx time difference measurement is restarted if the serving cell (</w:t>
            </w:r>
            <w:proofErr w:type="spellStart"/>
            <w:r w:rsidRPr="00C06FC5">
              <w:rPr>
                <w:i/>
                <w:iCs/>
                <w:sz w:val="22"/>
                <w:szCs w:val="22"/>
                <w:lang w:val="en-US"/>
              </w:rPr>
              <w:t>PCell</w:t>
            </w:r>
            <w:proofErr w:type="spellEnd"/>
            <w:r w:rsidRPr="00C06FC5">
              <w:rPr>
                <w:i/>
                <w:iCs/>
                <w:sz w:val="22"/>
                <w:szCs w:val="22"/>
                <w:lang w:val="en-US"/>
              </w:rPr>
              <w:t xml:space="preserve">, </w:t>
            </w:r>
            <w:proofErr w:type="spellStart"/>
            <w:r w:rsidRPr="00C06FC5">
              <w:rPr>
                <w:i/>
                <w:iCs/>
                <w:sz w:val="22"/>
                <w:szCs w:val="22"/>
                <w:lang w:val="en-US"/>
              </w:rPr>
              <w:t>PSCell</w:t>
            </w:r>
            <w:proofErr w:type="spellEnd"/>
            <w:r w:rsidRPr="00C06FC5">
              <w:rPr>
                <w:i/>
                <w:iCs/>
                <w:sz w:val="22"/>
                <w:szCs w:val="22"/>
                <w:lang w:val="en-US"/>
              </w:rPr>
              <w:t xml:space="preserve">, or </w:t>
            </w:r>
            <w:proofErr w:type="spellStart"/>
            <w:r w:rsidRPr="00C06FC5">
              <w:rPr>
                <w:i/>
                <w:iCs/>
                <w:sz w:val="22"/>
                <w:szCs w:val="22"/>
                <w:lang w:val="en-US"/>
              </w:rPr>
              <w:t>SCell</w:t>
            </w:r>
            <w:proofErr w:type="spellEnd"/>
            <w:r w:rsidRPr="00C06FC5">
              <w:rPr>
                <w:i/>
                <w:iCs/>
                <w:sz w:val="22"/>
                <w:szCs w:val="22"/>
                <w:lang w:val="en-US"/>
              </w:rPr>
              <w:t>) configured with the SRS for positioning changes during the measurement period. In this case, the UE shall restart the UE Rx-Tx time difference measurement after the SRS reconfiguration on the target cell is complete. Otherwise, the UE shall continue the on-going UE Rx-Tx time difference measurement after the serving cell change</w:t>
            </w:r>
          </w:p>
          <w:p w14:paraId="44BC9C0A" w14:textId="65FBDDD4" w:rsidR="00C06FC5" w:rsidRPr="001B13A7" w:rsidRDefault="00C06FC5" w:rsidP="00B52AE0">
            <w:pPr>
              <w:numPr>
                <w:ilvl w:val="1"/>
                <w:numId w:val="3"/>
              </w:numPr>
              <w:tabs>
                <w:tab w:val="num" w:pos="2160"/>
              </w:tabs>
              <w:spacing w:before="120" w:after="0"/>
              <w:jc w:val="both"/>
              <w:rPr>
                <w:i/>
                <w:iCs/>
                <w:sz w:val="22"/>
                <w:szCs w:val="22"/>
                <w:lang w:val="en-US"/>
              </w:rPr>
            </w:pPr>
            <w:r w:rsidRPr="00C06FC5">
              <w:rPr>
                <w:i/>
                <w:iCs/>
                <w:sz w:val="22"/>
                <w:szCs w:val="22"/>
                <w:lang w:val="en-US"/>
              </w:rPr>
              <w:t>Other options not precluded</w:t>
            </w:r>
          </w:p>
        </w:tc>
      </w:tr>
    </w:tbl>
    <w:p w14:paraId="2A41167A" w14:textId="0336C8BC" w:rsidR="00C06FC5" w:rsidRDefault="000A0A6C" w:rsidP="00C06FC5">
      <w:pPr>
        <w:spacing w:before="240" w:after="0"/>
        <w:jc w:val="both"/>
        <w:rPr>
          <w:sz w:val="22"/>
          <w:szCs w:val="22"/>
          <w:lang w:val="en-US" w:eastAsia="zh-CN"/>
        </w:rPr>
      </w:pPr>
      <w:r>
        <w:rPr>
          <w:sz w:val="22"/>
          <w:szCs w:val="22"/>
          <w:lang w:eastAsia="zh-CN"/>
        </w:rPr>
        <w:t>In general, UE Rx-Tx time difference measurement is based on network configuration. If a cell in configured for PRS measurement then the measurement should be performed whether it is serving cell or neighbour cell. Only one set of measurement requirements are specified. So, UE behaviour should not be impacted by the cell change. If a neighbour cell becomes serving cell and reconfigures SRS configuration then UE should of course measures based on updated SRS configuration. Before that UE behaviour should not be impacted. We don’t think we need to specify requirements for SRS reconfiguration. Even there is no cell change, SRS reconfiguration can also happen.</w:t>
      </w:r>
    </w:p>
    <w:p w14:paraId="0AB26C66" w14:textId="39BD091F" w:rsidR="000A0A6C" w:rsidRPr="006F3FBB" w:rsidRDefault="000A0A6C" w:rsidP="000A0A6C">
      <w:pPr>
        <w:spacing w:before="240" w:after="0"/>
        <w:jc w:val="both"/>
        <w:rPr>
          <w:b/>
          <w:bCs/>
          <w:sz w:val="22"/>
          <w:szCs w:val="22"/>
          <w:lang w:val="en-US" w:eastAsia="zh-CN"/>
        </w:rPr>
      </w:pPr>
      <w:r>
        <w:rPr>
          <w:b/>
          <w:bCs/>
          <w:sz w:val="22"/>
          <w:szCs w:val="22"/>
          <w:lang w:val="en-US" w:eastAsia="zh-CN"/>
        </w:rPr>
        <w:t xml:space="preserve">Proposal 7: </w:t>
      </w:r>
      <w:r w:rsidRPr="006F3FBB">
        <w:rPr>
          <w:b/>
          <w:bCs/>
          <w:sz w:val="22"/>
          <w:szCs w:val="22"/>
          <w:lang w:val="en-US" w:eastAsia="zh-CN"/>
        </w:rPr>
        <w:t xml:space="preserve">No need to </w:t>
      </w:r>
      <w:r>
        <w:rPr>
          <w:b/>
          <w:bCs/>
          <w:sz w:val="22"/>
          <w:szCs w:val="22"/>
          <w:lang w:val="en-US" w:eastAsia="zh-CN"/>
        </w:rPr>
        <w:t>specify requirements for SRS reconfiguration.</w:t>
      </w:r>
    </w:p>
    <w:p w14:paraId="1B274C06" w14:textId="77777777" w:rsidR="00E46169" w:rsidRPr="00120FAE" w:rsidRDefault="00E46169" w:rsidP="00B823CA">
      <w:pPr>
        <w:spacing w:before="240" w:after="0"/>
        <w:rPr>
          <w:sz w:val="22"/>
          <w:szCs w:val="22"/>
          <w:lang w:eastAsia="zh-CN"/>
        </w:rPr>
      </w:pPr>
    </w:p>
    <w:p w14:paraId="45C1AC25" w14:textId="03A9FAC4" w:rsidR="00CC6F36" w:rsidRPr="001D2FBF" w:rsidRDefault="00CC6F36" w:rsidP="00236E73">
      <w:pPr>
        <w:pStyle w:val="Heading1"/>
        <w:numPr>
          <w:ilvl w:val="0"/>
          <w:numId w:val="1"/>
        </w:numPr>
        <w:spacing w:before="360" w:after="0"/>
        <w:ind w:left="357" w:hanging="357"/>
      </w:pPr>
      <w:r w:rsidRPr="001D2FBF">
        <w:lastRenderedPageBreak/>
        <w:t>Summary</w:t>
      </w:r>
    </w:p>
    <w:p w14:paraId="3D3452CD" w14:textId="47F09287" w:rsidR="00745426" w:rsidRDefault="00967D32" w:rsidP="00745426">
      <w:pPr>
        <w:spacing w:before="240" w:after="0"/>
        <w:rPr>
          <w:sz w:val="22"/>
          <w:szCs w:val="22"/>
        </w:rPr>
      </w:pPr>
      <w:r w:rsidRPr="009F22C0">
        <w:rPr>
          <w:sz w:val="22"/>
          <w:szCs w:val="22"/>
        </w:rPr>
        <w:t xml:space="preserve">In this </w:t>
      </w:r>
      <w:r w:rsidR="006777A7">
        <w:rPr>
          <w:sz w:val="22"/>
          <w:szCs w:val="22"/>
        </w:rPr>
        <w:t>contribution we provide our views</w:t>
      </w:r>
      <w:r w:rsidR="00745426">
        <w:rPr>
          <w:sz w:val="22"/>
          <w:szCs w:val="22"/>
        </w:rPr>
        <w:t xml:space="preserve"> on </w:t>
      </w:r>
      <w:r w:rsidR="000A0A6C">
        <w:rPr>
          <w:sz w:val="22"/>
          <w:szCs w:val="22"/>
        </w:rPr>
        <w:t xml:space="preserve">UE Rx-Tx time difference </w:t>
      </w:r>
      <w:r w:rsidR="00245E1F">
        <w:rPr>
          <w:sz w:val="22"/>
          <w:szCs w:val="22"/>
          <w:lang w:val="en-US"/>
        </w:rPr>
        <w:t>measurement period requirements</w:t>
      </w:r>
      <w:r w:rsidR="00745426">
        <w:rPr>
          <w:sz w:val="22"/>
          <w:szCs w:val="22"/>
        </w:rPr>
        <w:t>. Based on analysis following proposals are present.</w:t>
      </w:r>
      <w:bookmarkStart w:id="3" w:name="_Hlk23953093"/>
    </w:p>
    <w:p w14:paraId="73EE307B" w14:textId="77777777" w:rsidR="000A0A6C" w:rsidRPr="00D23A1B" w:rsidRDefault="000A0A6C" w:rsidP="000A0A6C">
      <w:pPr>
        <w:spacing w:before="240" w:after="0"/>
        <w:jc w:val="both"/>
        <w:rPr>
          <w:b/>
          <w:bCs/>
          <w:sz w:val="22"/>
          <w:szCs w:val="22"/>
          <w:lang w:val="en-US" w:eastAsia="zh-CN"/>
        </w:rPr>
      </w:pPr>
      <w:r w:rsidRPr="00D23A1B">
        <w:rPr>
          <w:b/>
          <w:bCs/>
          <w:sz w:val="22"/>
          <w:szCs w:val="22"/>
          <w:lang w:val="en-US" w:eastAsia="zh-CN"/>
        </w:rPr>
        <w:t xml:space="preserve">Proposal 1: </w:t>
      </w:r>
      <w:r>
        <w:rPr>
          <w:b/>
          <w:bCs/>
          <w:sz w:val="22"/>
          <w:szCs w:val="22"/>
          <w:lang w:val="en-US" w:eastAsia="zh-CN"/>
        </w:rPr>
        <w:t xml:space="preserve">SRS periodicity is not accounted in UE Rx-Tx time difference measurement period </w:t>
      </w:r>
      <w:proofErr w:type="spellStart"/>
      <w:r>
        <w:rPr>
          <w:b/>
          <w:bCs/>
          <w:sz w:val="22"/>
          <w:szCs w:val="22"/>
          <w:lang w:val="en-US" w:eastAsia="zh-CN"/>
        </w:rPr>
        <w:t>requiremetns</w:t>
      </w:r>
      <w:proofErr w:type="spellEnd"/>
      <w:r w:rsidRPr="00D23A1B">
        <w:rPr>
          <w:b/>
          <w:bCs/>
          <w:sz w:val="22"/>
          <w:szCs w:val="22"/>
          <w:lang w:val="en-US" w:eastAsia="zh-CN"/>
        </w:rPr>
        <w:t>.</w:t>
      </w:r>
    </w:p>
    <w:p w14:paraId="05BE9FF1" w14:textId="77777777" w:rsidR="000A0A6C" w:rsidRPr="00D23A1B" w:rsidRDefault="000A0A6C" w:rsidP="000A0A6C">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2</w:t>
      </w:r>
      <w:r w:rsidRPr="00D23A1B">
        <w:rPr>
          <w:b/>
          <w:bCs/>
          <w:sz w:val="22"/>
          <w:szCs w:val="22"/>
          <w:lang w:val="en-US" w:eastAsia="zh-CN"/>
        </w:rPr>
        <w:t xml:space="preserve">: </w:t>
      </w:r>
      <w:r>
        <w:rPr>
          <w:b/>
          <w:bCs/>
          <w:sz w:val="22"/>
          <w:szCs w:val="22"/>
          <w:lang w:val="en-US" w:eastAsia="zh-CN"/>
        </w:rPr>
        <w:t xml:space="preserve">SRS dropping is not accounted in UE Rx-Tx time difference measurement period </w:t>
      </w:r>
      <w:proofErr w:type="spellStart"/>
      <w:r>
        <w:rPr>
          <w:b/>
          <w:bCs/>
          <w:sz w:val="22"/>
          <w:szCs w:val="22"/>
          <w:lang w:val="en-US" w:eastAsia="zh-CN"/>
        </w:rPr>
        <w:t>requiremetns</w:t>
      </w:r>
      <w:proofErr w:type="spellEnd"/>
      <w:r w:rsidRPr="00D23A1B">
        <w:rPr>
          <w:b/>
          <w:bCs/>
          <w:sz w:val="22"/>
          <w:szCs w:val="22"/>
          <w:lang w:val="en-US" w:eastAsia="zh-CN"/>
        </w:rPr>
        <w:t>.</w:t>
      </w:r>
    </w:p>
    <w:p w14:paraId="15BFB057" w14:textId="77777777" w:rsidR="000A0A6C" w:rsidRPr="00D23A1B" w:rsidRDefault="000A0A6C" w:rsidP="000A0A6C">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3</w:t>
      </w:r>
      <w:r w:rsidRPr="00D23A1B">
        <w:rPr>
          <w:b/>
          <w:bCs/>
          <w:sz w:val="22"/>
          <w:szCs w:val="22"/>
          <w:lang w:val="en-US" w:eastAsia="zh-CN"/>
        </w:rPr>
        <w:t>:</w:t>
      </w:r>
      <w:r w:rsidRPr="00276E01">
        <w:rPr>
          <w:i/>
          <w:iCs/>
          <w:sz w:val="22"/>
          <w:szCs w:val="22"/>
          <w:lang w:val="en-US"/>
        </w:rPr>
        <w:t xml:space="preserve"> </w:t>
      </w:r>
      <w:r>
        <w:rPr>
          <w:b/>
          <w:bCs/>
          <w:sz w:val="22"/>
          <w:szCs w:val="22"/>
          <w:lang w:val="en-US"/>
        </w:rPr>
        <w:t>UE Rx-Tx time difference</w:t>
      </w:r>
      <w:r w:rsidRPr="00276E01">
        <w:rPr>
          <w:b/>
          <w:bCs/>
          <w:sz w:val="22"/>
          <w:szCs w:val="22"/>
          <w:lang w:val="en-US"/>
        </w:rPr>
        <w:t xml:space="preserve"> measurement requirements are applicable only if any SRS transmission is within [-</w:t>
      </w:r>
      <w:r>
        <w:rPr>
          <w:b/>
          <w:bCs/>
          <w:sz w:val="22"/>
          <w:szCs w:val="22"/>
          <w:lang w:val="en-US"/>
        </w:rPr>
        <w:t>160</w:t>
      </w:r>
      <w:r w:rsidRPr="00276E01">
        <w:rPr>
          <w:b/>
          <w:bCs/>
          <w:sz w:val="22"/>
          <w:szCs w:val="22"/>
          <w:lang w:val="en-US"/>
        </w:rPr>
        <w:t xml:space="preserve">, </w:t>
      </w:r>
      <w:r>
        <w:rPr>
          <w:b/>
          <w:bCs/>
          <w:sz w:val="22"/>
          <w:szCs w:val="22"/>
          <w:lang w:val="en-US"/>
        </w:rPr>
        <w:t>160</w:t>
      </w:r>
      <w:r w:rsidRPr="00276E01">
        <w:rPr>
          <w:b/>
          <w:bCs/>
          <w:sz w:val="22"/>
          <w:szCs w:val="22"/>
          <w:lang w:val="en-US"/>
        </w:rPr>
        <w:t>] msec of at least one DL PRS resource of each of the TRPs in the assistance data. Accuracy requirements is independent of PRS and SRS separation.</w:t>
      </w:r>
    </w:p>
    <w:p w14:paraId="43A4FF72" w14:textId="77777777" w:rsidR="000A0A6C" w:rsidRDefault="000A0A6C" w:rsidP="000A0A6C">
      <w:pPr>
        <w:spacing w:before="240" w:after="0"/>
        <w:jc w:val="both"/>
        <w:rPr>
          <w:i/>
          <w:iCs/>
          <w:sz w:val="22"/>
          <w:szCs w:val="22"/>
          <w:lang w:val="en-US"/>
        </w:rPr>
      </w:pPr>
      <w:r w:rsidRPr="00D23A1B">
        <w:rPr>
          <w:b/>
          <w:bCs/>
          <w:sz w:val="22"/>
          <w:szCs w:val="22"/>
          <w:lang w:val="en-US" w:eastAsia="zh-CN"/>
        </w:rPr>
        <w:t xml:space="preserve">Proposal </w:t>
      </w:r>
      <w:r>
        <w:rPr>
          <w:b/>
          <w:bCs/>
          <w:sz w:val="22"/>
          <w:szCs w:val="22"/>
          <w:lang w:val="en-US" w:eastAsia="zh-CN"/>
        </w:rPr>
        <w:t>4</w:t>
      </w:r>
      <w:r w:rsidRPr="00D23A1B">
        <w:rPr>
          <w:b/>
          <w:bCs/>
          <w:sz w:val="22"/>
          <w:szCs w:val="22"/>
          <w:lang w:val="en-US" w:eastAsia="zh-CN"/>
        </w:rPr>
        <w:t>:</w:t>
      </w:r>
      <w:r w:rsidRPr="00276E01">
        <w:rPr>
          <w:i/>
          <w:iCs/>
          <w:sz w:val="22"/>
          <w:szCs w:val="22"/>
          <w:lang w:val="en-US"/>
        </w:rPr>
        <w:t xml:space="preserve"> </w:t>
      </w:r>
      <w:r w:rsidRPr="008014A5">
        <w:rPr>
          <w:b/>
          <w:bCs/>
          <w:sz w:val="22"/>
          <w:szCs w:val="22"/>
          <w:lang w:val="en-US" w:eastAsia="zh-CN"/>
        </w:rPr>
        <w:t>UE Rx-Tx time difference measurement requirements are not applicable if TA change is received during the measurement period.</w:t>
      </w:r>
    </w:p>
    <w:p w14:paraId="2BE8A044" w14:textId="77777777" w:rsidR="000A0A6C" w:rsidRPr="00D23A1B" w:rsidRDefault="000A0A6C" w:rsidP="000A0A6C">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4</w:t>
      </w:r>
      <w:r w:rsidRPr="00D23A1B">
        <w:rPr>
          <w:b/>
          <w:bCs/>
          <w:sz w:val="22"/>
          <w:szCs w:val="22"/>
          <w:lang w:val="en-US" w:eastAsia="zh-CN"/>
        </w:rPr>
        <w:t>:</w:t>
      </w:r>
      <w:r>
        <w:rPr>
          <w:b/>
          <w:bCs/>
          <w:sz w:val="22"/>
          <w:szCs w:val="22"/>
          <w:lang w:val="en-US" w:eastAsia="zh-CN"/>
        </w:rPr>
        <w:t xml:space="preserve"> RAN4 inform RAN1 the agreement that UE measurement period requirements and accuracy requirements are not applicable when TA change due to TA command during the measurement period.</w:t>
      </w:r>
    </w:p>
    <w:p w14:paraId="644C74C9" w14:textId="77777777" w:rsidR="000A0A6C" w:rsidRDefault="000A0A6C" w:rsidP="000A0A6C">
      <w:pPr>
        <w:spacing w:before="240" w:after="0"/>
        <w:jc w:val="both"/>
        <w:rPr>
          <w:sz w:val="22"/>
          <w:szCs w:val="22"/>
          <w:lang w:val="en-US" w:eastAsia="zh-CN"/>
        </w:rPr>
      </w:pPr>
      <w:r w:rsidRPr="00D23A1B">
        <w:rPr>
          <w:b/>
          <w:bCs/>
          <w:sz w:val="22"/>
          <w:szCs w:val="22"/>
          <w:lang w:val="en-US" w:eastAsia="zh-CN"/>
        </w:rPr>
        <w:t xml:space="preserve">Proposal </w:t>
      </w:r>
      <w:r>
        <w:rPr>
          <w:b/>
          <w:bCs/>
          <w:sz w:val="22"/>
          <w:szCs w:val="22"/>
          <w:lang w:val="en-US" w:eastAsia="zh-CN"/>
        </w:rPr>
        <w:t>5</w:t>
      </w:r>
      <w:r w:rsidRPr="00D23A1B">
        <w:rPr>
          <w:b/>
          <w:bCs/>
          <w:sz w:val="22"/>
          <w:szCs w:val="22"/>
          <w:lang w:val="en-US" w:eastAsia="zh-CN"/>
        </w:rPr>
        <w:t>:</w:t>
      </w:r>
      <w:r>
        <w:rPr>
          <w:b/>
          <w:bCs/>
          <w:sz w:val="22"/>
          <w:szCs w:val="22"/>
          <w:lang w:val="en-US" w:eastAsia="zh-CN"/>
        </w:rPr>
        <w:t xml:space="preserve"> </w:t>
      </w:r>
      <w:r w:rsidRPr="008014A5">
        <w:rPr>
          <w:b/>
          <w:bCs/>
          <w:sz w:val="22"/>
          <w:szCs w:val="22"/>
          <w:lang w:val="en-US" w:eastAsia="zh-CN"/>
        </w:rPr>
        <w:t xml:space="preserve">UE Rx-Tx time difference measurement requirements </w:t>
      </w:r>
      <w:r>
        <w:rPr>
          <w:b/>
          <w:bCs/>
          <w:sz w:val="22"/>
          <w:szCs w:val="22"/>
          <w:lang w:val="en-US" w:eastAsia="zh-CN"/>
        </w:rPr>
        <w:t>shall apply</w:t>
      </w:r>
      <w:r w:rsidRPr="008014A5">
        <w:rPr>
          <w:b/>
          <w:bCs/>
          <w:sz w:val="22"/>
          <w:szCs w:val="22"/>
          <w:lang w:val="en-US" w:eastAsia="zh-CN"/>
        </w:rPr>
        <w:t xml:space="preserve"> if </w:t>
      </w:r>
      <w:r>
        <w:rPr>
          <w:b/>
          <w:bCs/>
          <w:sz w:val="22"/>
          <w:szCs w:val="22"/>
          <w:lang w:val="en-US" w:eastAsia="zh-CN"/>
        </w:rPr>
        <w:t>UE autonomous adjustment happens during measurement period.</w:t>
      </w:r>
    </w:p>
    <w:p w14:paraId="0A91E75F" w14:textId="77777777" w:rsidR="000A0A6C" w:rsidRPr="006F3FBB" w:rsidRDefault="000A0A6C" w:rsidP="000A0A6C">
      <w:pPr>
        <w:spacing w:before="240" w:after="0"/>
        <w:jc w:val="both"/>
        <w:rPr>
          <w:b/>
          <w:bCs/>
          <w:sz w:val="22"/>
          <w:szCs w:val="22"/>
          <w:lang w:val="en-US" w:eastAsia="zh-CN"/>
        </w:rPr>
      </w:pPr>
      <w:r>
        <w:rPr>
          <w:b/>
          <w:bCs/>
          <w:sz w:val="22"/>
          <w:szCs w:val="22"/>
          <w:lang w:val="en-US" w:eastAsia="zh-CN"/>
        </w:rPr>
        <w:t xml:space="preserve">Proposal 6: </w:t>
      </w:r>
      <w:r w:rsidRPr="006F3FBB">
        <w:rPr>
          <w:b/>
          <w:bCs/>
          <w:sz w:val="22"/>
          <w:szCs w:val="22"/>
          <w:lang w:val="en-US" w:eastAsia="zh-CN"/>
        </w:rPr>
        <w:t xml:space="preserve">No need to clarify UE Rx-Tx measurement requirements in case of </w:t>
      </w:r>
      <w:proofErr w:type="spellStart"/>
      <w:r w:rsidRPr="006F3FBB">
        <w:rPr>
          <w:b/>
          <w:bCs/>
          <w:sz w:val="22"/>
          <w:szCs w:val="22"/>
          <w:lang w:val="en-US" w:eastAsia="zh-CN"/>
        </w:rPr>
        <w:t>NTA_offset</w:t>
      </w:r>
      <w:proofErr w:type="spellEnd"/>
      <w:r w:rsidRPr="006F3FBB">
        <w:rPr>
          <w:b/>
          <w:bCs/>
          <w:sz w:val="22"/>
          <w:szCs w:val="22"/>
          <w:lang w:val="en-US" w:eastAsia="zh-CN"/>
        </w:rPr>
        <w:t xml:space="preserve"> change</w:t>
      </w:r>
    </w:p>
    <w:p w14:paraId="0D09BECE" w14:textId="77777777" w:rsidR="000A0A6C" w:rsidRPr="006F3FBB" w:rsidRDefault="000A0A6C" w:rsidP="000A0A6C">
      <w:pPr>
        <w:spacing w:before="240" w:after="0"/>
        <w:jc w:val="both"/>
        <w:rPr>
          <w:b/>
          <w:bCs/>
          <w:sz w:val="22"/>
          <w:szCs w:val="22"/>
          <w:lang w:val="en-US" w:eastAsia="zh-CN"/>
        </w:rPr>
      </w:pPr>
      <w:r>
        <w:rPr>
          <w:b/>
          <w:bCs/>
          <w:sz w:val="22"/>
          <w:szCs w:val="22"/>
          <w:lang w:val="en-US" w:eastAsia="zh-CN"/>
        </w:rPr>
        <w:t xml:space="preserve">Proposal 7: </w:t>
      </w:r>
      <w:r w:rsidRPr="006F3FBB">
        <w:rPr>
          <w:b/>
          <w:bCs/>
          <w:sz w:val="22"/>
          <w:szCs w:val="22"/>
          <w:lang w:val="en-US" w:eastAsia="zh-CN"/>
        </w:rPr>
        <w:t xml:space="preserve">No need to </w:t>
      </w:r>
      <w:r>
        <w:rPr>
          <w:b/>
          <w:bCs/>
          <w:sz w:val="22"/>
          <w:szCs w:val="22"/>
          <w:lang w:val="en-US" w:eastAsia="zh-CN"/>
        </w:rPr>
        <w:t>specify requirements for SRS reconfiguration.</w:t>
      </w:r>
    </w:p>
    <w:p w14:paraId="75DCA882" w14:textId="77777777" w:rsidR="000A0A6C" w:rsidRDefault="000A0A6C" w:rsidP="000A0A6C">
      <w:pPr>
        <w:spacing w:before="240" w:after="0"/>
        <w:jc w:val="both"/>
        <w:rPr>
          <w:sz w:val="22"/>
          <w:szCs w:val="22"/>
          <w:lang w:val="en-US" w:eastAsia="zh-CN"/>
        </w:rPr>
      </w:pPr>
    </w:p>
    <w:bookmarkEnd w:id="3"/>
    <w:p w14:paraId="108E5AA7" w14:textId="0C1DECC2" w:rsidR="0064384A" w:rsidRPr="0064384A"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1"/>
      <w:bookmarkEnd w:id="2"/>
    </w:p>
    <w:p w14:paraId="1F4DCCBF" w14:textId="2B5BEA3B" w:rsidR="00D42AAA" w:rsidRDefault="00D42AAA" w:rsidP="00B52AE0">
      <w:pPr>
        <w:pStyle w:val="ListParagraph"/>
        <w:numPr>
          <w:ilvl w:val="0"/>
          <w:numId w:val="2"/>
        </w:numPr>
        <w:spacing w:before="240"/>
        <w:contextualSpacing w:val="0"/>
        <w:rPr>
          <w:rFonts w:ascii="Times New Roman" w:hAnsi="Times New Roman"/>
          <w:sz w:val="20"/>
        </w:rPr>
      </w:pPr>
      <w:r w:rsidRPr="00D42AAA">
        <w:rPr>
          <w:rFonts w:ascii="Times New Roman" w:hAnsi="Times New Roman"/>
          <w:sz w:val="20"/>
        </w:rPr>
        <w:t>R4-2017372</w:t>
      </w:r>
      <w:r w:rsidRPr="00D42AAA">
        <w:rPr>
          <w:rFonts w:ascii="Times New Roman" w:hAnsi="Times New Roman"/>
          <w:sz w:val="20"/>
        </w:rPr>
        <w:tab/>
        <w:t>WF on UE PRS measurement requirements</w:t>
      </w:r>
      <w:r>
        <w:rPr>
          <w:rFonts w:ascii="Times New Roman" w:hAnsi="Times New Roman"/>
          <w:sz w:val="20"/>
        </w:rPr>
        <w:t>,</w:t>
      </w:r>
      <w:r w:rsidRPr="00D42AAA">
        <w:rPr>
          <w:rFonts w:ascii="Times New Roman" w:hAnsi="Times New Roman"/>
          <w:sz w:val="20"/>
        </w:rPr>
        <w:tab/>
        <w:t xml:space="preserve">Huawei, </w:t>
      </w:r>
      <w:proofErr w:type="spellStart"/>
      <w:r w:rsidRPr="00D42AAA">
        <w:rPr>
          <w:rFonts w:ascii="Times New Roman" w:hAnsi="Times New Roman"/>
          <w:sz w:val="20"/>
        </w:rPr>
        <w:t>HiSilicon</w:t>
      </w:r>
      <w:proofErr w:type="spellEnd"/>
    </w:p>
    <w:p w14:paraId="0035AD82" w14:textId="3216C51F" w:rsidR="009D15F2" w:rsidRDefault="009D15F2" w:rsidP="00B52AE0">
      <w:pPr>
        <w:pStyle w:val="ListParagraph"/>
        <w:numPr>
          <w:ilvl w:val="0"/>
          <w:numId w:val="2"/>
        </w:numPr>
        <w:spacing w:before="240"/>
        <w:contextualSpacing w:val="0"/>
        <w:rPr>
          <w:rFonts w:ascii="Times New Roman" w:hAnsi="Times New Roman"/>
          <w:sz w:val="20"/>
        </w:rPr>
      </w:pPr>
      <w:r w:rsidRPr="009D15F2">
        <w:rPr>
          <w:rFonts w:ascii="Times New Roman" w:hAnsi="Times New Roman"/>
          <w:sz w:val="20"/>
        </w:rPr>
        <w:t>R4-2008664</w:t>
      </w:r>
      <w:r w:rsidRPr="009D15F2">
        <w:rPr>
          <w:rFonts w:ascii="Times New Roman" w:hAnsi="Times New Roman"/>
          <w:sz w:val="20"/>
        </w:rPr>
        <w:tab/>
        <w:t>WF on requirements for RSTD and UE Rx-Tx time difference measurement</w:t>
      </w:r>
      <w:r>
        <w:rPr>
          <w:rFonts w:ascii="Times New Roman" w:hAnsi="Times New Roman"/>
          <w:sz w:val="20"/>
        </w:rPr>
        <w:t>,</w:t>
      </w:r>
      <w:r w:rsidRPr="009D15F2">
        <w:rPr>
          <w:rFonts w:ascii="Times New Roman" w:hAnsi="Times New Roman"/>
          <w:sz w:val="20"/>
        </w:rPr>
        <w:tab/>
        <w:t xml:space="preserve">Huawei, </w:t>
      </w:r>
      <w:proofErr w:type="spellStart"/>
      <w:r w:rsidRPr="009D15F2">
        <w:rPr>
          <w:rFonts w:ascii="Times New Roman" w:hAnsi="Times New Roman"/>
          <w:sz w:val="20"/>
        </w:rPr>
        <w:t>HiSilicon</w:t>
      </w:r>
      <w:proofErr w:type="spellEnd"/>
    </w:p>
    <w:p w14:paraId="6DF65D49" w14:textId="0EAF6F64" w:rsidR="005620CD" w:rsidRPr="00DE2F9C" w:rsidRDefault="005620CD" w:rsidP="00B52AE0">
      <w:pPr>
        <w:pStyle w:val="ListParagraph"/>
        <w:numPr>
          <w:ilvl w:val="0"/>
          <w:numId w:val="2"/>
        </w:numPr>
        <w:spacing w:before="240"/>
        <w:contextualSpacing w:val="0"/>
        <w:rPr>
          <w:rFonts w:ascii="Times New Roman" w:hAnsi="Times New Roman"/>
          <w:sz w:val="20"/>
        </w:rPr>
      </w:pPr>
      <w:r w:rsidRPr="005620CD">
        <w:rPr>
          <w:rFonts w:ascii="Times New Roman" w:hAnsi="Times New Roman"/>
          <w:sz w:val="20"/>
        </w:rPr>
        <w:t>R4-2008668</w:t>
      </w:r>
      <w:r w:rsidRPr="005620CD">
        <w:rPr>
          <w:rFonts w:ascii="Times New Roman" w:hAnsi="Times New Roman"/>
          <w:sz w:val="20"/>
        </w:rPr>
        <w:tab/>
        <w:t xml:space="preserve">WF on </w:t>
      </w:r>
      <w:proofErr w:type="spellStart"/>
      <w:r w:rsidRPr="005620CD">
        <w:rPr>
          <w:rFonts w:ascii="Times New Roman" w:hAnsi="Times New Roman"/>
          <w:sz w:val="20"/>
        </w:rPr>
        <w:t>gNB</w:t>
      </w:r>
      <w:proofErr w:type="spellEnd"/>
      <w:r w:rsidRPr="005620CD">
        <w:rPr>
          <w:rFonts w:ascii="Times New Roman" w:hAnsi="Times New Roman"/>
          <w:sz w:val="20"/>
        </w:rPr>
        <w:t xml:space="preserve"> requirements for NR positioning</w:t>
      </w:r>
      <w:r>
        <w:rPr>
          <w:rFonts w:ascii="Times New Roman" w:hAnsi="Times New Roman"/>
          <w:sz w:val="20"/>
        </w:rPr>
        <w:t xml:space="preserve">, </w:t>
      </w:r>
      <w:r w:rsidRPr="005620CD">
        <w:rPr>
          <w:rFonts w:ascii="Times New Roman" w:hAnsi="Times New Roman"/>
          <w:sz w:val="20"/>
        </w:rPr>
        <w:t>Ericsson</w:t>
      </w:r>
    </w:p>
    <w:sectPr w:rsidR="005620CD" w:rsidRPr="00DE2F9C">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E86949" w14:textId="77777777" w:rsidR="00EC361B" w:rsidRDefault="00EC361B">
      <w:r>
        <w:separator/>
      </w:r>
    </w:p>
  </w:endnote>
  <w:endnote w:type="continuationSeparator" w:id="0">
    <w:p w14:paraId="01A0E648" w14:textId="77777777" w:rsidR="00EC361B" w:rsidRDefault="00EC3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2FA786" w14:textId="77777777" w:rsidR="00EC361B" w:rsidRDefault="00EC361B">
      <w:r>
        <w:separator/>
      </w:r>
    </w:p>
  </w:footnote>
  <w:footnote w:type="continuationSeparator" w:id="0">
    <w:p w14:paraId="26CC4ADA" w14:textId="77777777" w:rsidR="00EC361B" w:rsidRDefault="00EC3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76D5" w14:textId="77777777" w:rsidR="00C06FC5" w:rsidRDefault="00C06FC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1C047BF5"/>
    <w:multiLevelType w:val="hybridMultilevel"/>
    <w:tmpl w:val="5E5A20EE"/>
    <w:lvl w:ilvl="0" w:tplc="109A6A32">
      <w:start w:val="1"/>
      <w:numFmt w:val="bullet"/>
      <w:lvlText w:val="•"/>
      <w:lvlJc w:val="left"/>
      <w:pPr>
        <w:tabs>
          <w:tab w:val="num" w:pos="360"/>
        </w:tabs>
        <w:ind w:left="360" w:hanging="360"/>
      </w:pPr>
      <w:rPr>
        <w:rFonts w:ascii="Arial" w:hAnsi="Arial" w:hint="default"/>
      </w:rPr>
    </w:lvl>
    <w:lvl w:ilvl="1" w:tplc="98E2AD8C">
      <w:numFmt w:val="bullet"/>
      <w:lvlText w:val="–"/>
      <w:lvlJc w:val="left"/>
      <w:pPr>
        <w:tabs>
          <w:tab w:val="num" w:pos="1080"/>
        </w:tabs>
        <w:ind w:left="1080" w:hanging="360"/>
      </w:pPr>
      <w:rPr>
        <w:rFonts w:ascii="Arial" w:hAnsi="Arial" w:hint="default"/>
      </w:rPr>
    </w:lvl>
    <w:lvl w:ilvl="2" w:tplc="3B86EDE8">
      <w:numFmt w:val="bullet"/>
      <w:lvlText w:val="•"/>
      <w:lvlJc w:val="left"/>
      <w:pPr>
        <w:tabs>
          <w:tab w:val="num" w:pos="1800"/>
        </w:tabs>
        <w:ind w:left="1800" w:hanging="360"/>
      </w:pPr>
      <w:rPr>
        <w:rFonts w:ascii="Arial" w:hAnsi="Arial" w:hint="default"/>
      </w:rPr>
    </w:lvl>
    <w:lvl w:ilvl="3" w:tplc="98E2AD8C">
      <w:numFmt w:val="bullet"/>
      <w:lvlText w:val="–"/>
      <w:lvlJc w:val="left"/>
      <w:pPr>
        <w:tabs>
          <w:tab w:val="num" w:pos="2520"/>
        </w:tabs>
        <w:ind w:left="2520" w:hanging="360"/>
      </w:pPr>
      <w:rPr>
        <w:rFonts w:ascii="Arial" w:hAnsi="Arial" w:hint="default"/>
      </w:rPr>
    </w:lvl>
    <w:lvl w:ilvl="4" w:tplc="42C849FA">
      <w:numFmt w:val="bullet"/>
      <w:lvlText w:val="»"/>
      <w:lvlJc w:val="left"/>
      <w:pPr>
        <w:tabs>
          <w:tab w:val="num" w:pos="3240"/>
        </w:tabs>
        <w:ind w:left="3240" w:hanging="360"/>
      </w:pPr>
      <w:rPr>
        <w:rFonts w:ascii="Arial" w:hAnsi="Arial" w:hint="default"/>
      </w:rPr>
    </w:lvl>
    <w:lvl w:ilvl="5" w:tplc="4AFAD170" w:tentative="1">
      <w:start w:val="1"/>
      <w:numFmt w:val="bullet"/>
      <w:lvlText w:val="•"/>
      <w:lvlJc w:val="left"/>
      <w:pPr>
        <w:tabs>
          <w:tab w:val="num" w:pos="3960"/>
        </w:tabs>
        <w:ind w:left="3960" w:hanging="360"/>
      </w:pPr>
      <w:rPr>
        <w:rFonts w:ascii="Arial" w:hAnsi="Arial" w:hint="default"/>
      </w:rPr>
    </w:lvl>
    <w:lvl w:ilvl="6" w:tplc="49BADDD4" w:tentative="1">
      <w:start w:val="1"/>
      <w:numFmt w:val="bullet"/>
      <w:lvlText w:val="•"/>
      <w:lvlJc w:val="left"/>
      <w:pPr>
        <w:tabs>
          <w:tab w:val="num" w:pos="4680"/>
        </w:tabs>
        <w:ind w:left="4680" w:hanging="360"/>
      </w:pPr>
      <w:rPr>
        <w:rFonts w:ascii="Arial" w:hAnsi="Arial" w:hint="default"/>
      </w:rPr>
    </w:lvl>
    <w:lvl w:ilvl="7" w:tplc="D2C2DF28" w:tentative="1">
      <w:start w:val="1"/>
      <w:numFmt w:val="bullet"/>
      <w:lvlText w:val="•"/>
      <w:lvlJc w:val="left"/>
      <w:pPr>
        <w:tabs>
          <w:tab w:val="num" w:pos="5400"/>
        </w:tabs>
        <w:ind w:left="5400" w:hanging="360"/>
      </w:pPr>
      <w:rPr>
        <w:rFonts w:ascii="Arial" w:hAnsi="Arial" w:hint="default"/>
      </w:rPr>
    </w:lvl>
    <w:lvl w:ilvl="8" w:tplc="ADFABF0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51D4"/>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9A1"/>
    <w:rsid w:val="00020BD4"/>
    <w:rsid w:val="000215BD"/>
    <w:rsid w:val="00021F21"/>
    <w:rsid w:val="00022078"/>
    <w:rsid w:val="00022E4A"/>
    <w:rsid w:val="00023243"/>
    <w:rsid w:val="00023F11"/>
    <w:rsid w:val="0002520C"/>
    <w:rsid w:val="00025CD9"/>
    <w:rsid w:val="00025D5C"/>
    <w:rsid w:val="0002639E"/>
    <w:rsid w:val="0002674F"/>
    <w:rsid w:val="000279EC"/>
    <w:rsid w:val="00030A91"/>
    <w:rsid w:val="000319F0"/>
    <w:rsid w:val="00033433"/>
    <w:rsid w:val="00033920"/>
    <w:rsid w:val="00033A96"/>
    <w:rsid w:val="00033D21"/>
    <w:rsid w:val="00034F15"/>
    <w:rsid w:val="00035100"/>
    <w:rsid w:val="00036006"/>
    <w:rsid w:val="0003643B"/>
    <w:rsid w:val="00036587"/>
    <w:rsid w:val="00036E6C"/>
    <w:rsid w:val="00037F60"/>
    <w:rsid w:val="00040DFB"/>
    <w:rsid w:val="00043107"/>
    <w:rsid w:val="000431F0"/>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AF8"/>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72457"/>
    <w:rsid w:val="00072E3F"/>
    <w:rsid w:val="00073DA3"/>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0A6C"/>
    <w:rsid w:val="000A1EA8"/>
    <w:rsid w:val="000A2D20"/>
    <w:rsid w:val="000A36F0"/>
    <w:rsid w:val="000A40B8"/>
    <w:rsid w:val="000A4B84"/>
    <w:rsid w:val="000A6096"/>
    <w:rsid w:val="000A60DD"/>
    <w:rsid w:val="000A6394"/>
    <w:rsid w:val="000A6F55"/>
    <w:rsid w:val="000B0BFC"/>
    <w:rsid w:val="000B0D64"/>
    <w:rsid w:val="000B1435"/>
    <w:rsid w:val="000B16F8"/>
    <w:rsid w:val="000B1E46"/>
    <w:rsid w:val="000B1ECC"/>
    <w:rsid w:val="000B21B8"/>
    <w:rsid w:val="000B46A2"/>
    <w:rsid w:val="000B488A"/>
    <w:rsid w:val="000B4E56"/>
    <w:rsid w:val="000B5831"/>
    <w:rsid w:val="000B58A1"/>
    <w:rsid w:val="000B5DBE"/>
    <w:rsid w:val="000B5E32"/>
    <w:rsid w:val="000C008B"/>
    <w:rsid w:val="000C038A"/>
    <w:rsid w:val="000C0DA1"/>
    <w:rsid w:val="000C1C44"/>
    <w:rsid w:val="000C3557"/>
    <w:rsid w:val="000C4073"/>
    <w:rsid w:val="000C4870"/>
    <w:rsid w:val="000C5232"/>
    <w:rsid w:val="000C6598"/>
    <w:rsid w:val="000C7B6F"/>
    <w:rsid w:val="000D0030"/>
    <w:rsid w:val="000D0F90"/>
    <w:rsid w:val="000D1334"/>
    <w:rsid w:val="000D194C"/>
    <w:rsid w:val="000D1BAB"/>
    <w:rsid w:val="000D1F2F"/>
    <w:rsid w:val="000D22B0"/>
    <w:rsid w:val="000D45E7"/>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3815"/>
    <w:rsid w:val="000E3C50"/>
    <w:rsid w:val="000E3C71"/>
    <w:rsid w:val="000E4521"/>
    <w:rsid w:val="000E57FF"/>
    <w:rsid w:val="000E5B73"/>
    <w:rsid w:val="000E67A9"/>
    <w:rsid w:val="000F169D"/>
    <w:rsid w:val="000F19ED"/>
    <w:rsid w:val="000F2647"/>
    <w:rsid w:val="000F2656"/>
    <w:rsid w:val="000F287F"/>
    <w:rsid w:val="000F2CA4"/>
    <w:rsid w:val="000F3E19"/>
    <w:rsid w:val="000F4598"/>
    <w:rsid w:val="000F5E32"/>
    <w:rsid w:val="000F6125"/>
    <w:rsid w:val="000F669E"/>
    <w:rsid w:val="000F67DF"/>
    <w:rsid w:val="000F746D"/>
    <w:rsid w:val="000F75F1"/>
    <w:rsid w:val="000F7768"/>
    <w:rsid w:val="000F78C5"/>
    <w:rsid w:val="001003A1"/>
    <w:rsid w:val="00100C66"/>
    <w:rsid w:val="0010128A"/>
    <w:rsid w:val="00101471"/>
    <w:rsid w:val="00101B42"/>
    <w:rsid w:val="00101D3C"/>
    <w:rsid w:val="00102382"/>
    <w:rsid w:val="00102D5A"/>
    <w:rsid w:val="00103296"/>
    <w:rsid w:val="00104DD5"/>
    <w:rsid w:val="00104F71"/>
    <w:rsid w:val="001056CA"/>
    <w:rsid w:val="00105AF9"/>
    <w:rsid w:val="001113F3"/>
    <w:rsid w:val="001115A8"/>
    <w:rsid w:val="001125AF"/>
    <w:rsid w:val="001126F4"/>
    <w:rsid w:val="00112C5D"/>
    <w:rsid w:val="00112DE1"/>
    <w:rsid w:val="001130BC"/>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BFB"/>
    <w:rsid w:val="00132F9E"/>
    <w:rsid w:val="0013321B"/>
    <w:rsid w:val="00133D75"/>
    <w:rsid w:val="001356A2"/>
    <w:rsid w:val="00136422"/>
    <w:rsid w:val="00136C3B"/>
    <w:rsid w:val="00136FAC"/>
    <w:rsid w:val="001403A2"/>
    <w:rsid w:val="00141163"/>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517C7"/>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0ABE"/>
    <w:rsid w:val="001710A2"/>
    <w:rsid w:val="00171339"/>
    <w:rsid w:val="00171FCF"/>
    <w:rsid w:val="00173053"/>
    <w:rsid w:val="001733B8"/>
    <w:rsid w:val="001741DF"/>
    <w:rsid w:val="001761F6"/>
    <w:rsid w:val="0017621A"/>
    <w:rsid w:val="001766AD"/>
    <w:rsid w:val="001772CF"/>
    <w:rsid w:val="001800C0"/>
    <w:rsid w:val="001804B6"/>
    <w:rsid w:val="001808A4"/>
    <w:rsid w:val="0018133F"/>
    <w:rsid w:val="00182A49"/>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6FF6"/>
    <w:rsid w:val="001A740D"/>
    <w:rsid w:val="001A7B60"/>
    <w:rsid w:val="001B0115"/>
    <w:rsid w:val="001B0C5F"/>
    <w:rsid w:val="001B13A7"/>
    <w:rsid w:val="001B15E0"/>
    <w:rsid w:val="001B1698"/>
    <w:rsid w:val="001B27D9"/>
    <w:rsid w:val="001B3363"/>
    <w:rsid w:val="001B3451"/>
    <w:rsid w:val="001B3BA3"/>
    <w:rsid w:val="001B3C1C"/>
    <w:rsid w:val="001B41C7"/>
    <w:rsid w:val="001B4EA4"/>
    <w:rsid w:val="001B5224"/>
    <w:rsid w:val="001B591A"/>
    <w:rsid w:val="001B5E4B"/>
    <w:rsid w:val="001B5FCD"/>
    <w:rsid w:val="001B66C2"/>
    <w:rsid w:val="001B73E1"/>
    <w:rsid w:val="001B7A65"/>
    <w:rsid w:val="001B7B82"/>
    <w:rsid w:val="001C13E2"/>
    <w:rsid w:val="001C17AE"/>
    <w:rsid w:val="001C1E99"/>
    <w:rsid w:val="001C21C4"/>
    <w:rsid w:val="001C3040"/>
    <w:rsid w:val="001C30B7"/>
    <w:rsid w:val="001C486E"/>
    <w:rsid w:val="001C4BAD"/>
    <w:rsid w:val="001C4F59"/>
    <w:rsid w:val="001C5023"/>
    <w:rsid w:val="001C5226"/>
    <w:rsid w:val="001C5F5E"/>
    <w:rsid w:val="001C6580"/>
    <w:rsid w:val="001C6DBB"/>
    <w:rsid w:val="001C71C2"/>
    <w:rsid w:val="001C733A"/>
    <w:rsid w:val="001D1C6E"/>
    <w:rsid w:val="001D1E64"/>
    <w:rsid w:val="001D1F58"/>
    <w:rsid w:val="001D2015"/>
    <w:rsid w:val="001D21BB"/>
    <w:rsid w:val="001D25F8"/>
    <w:rsid w:val="001D2FBF"/>
    <w:rsid w:val="001D33BB"/>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29E"/>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8FA"/>
    <w:rsid w:val="001F6ADC"/>
    <w:rsid w:val="002003EE"/>
    <w:rsid w:val="00200410"/>
    <w:rsid w:val="00200D57"/>
    <w:rsid w:val="00200E19"/>
    <w:rsid w:val="0020172E"/>
    <w:rsid w:val="0020187B"/>
    <w:rsid w:val="00202A21"/>
    <w:rsid w:val="00202B57"/>
    <w:rsid w:val="00202BB6"/>
    <w:rsid w:val="0020309E"/>
    <w:rsid w:val="00203446"/>
    <w:rsid w:val="00203B06"/>
    <w:rsid w:val="00204E57"/>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9F3"/>
    <w:rsid w:val="00211C5A"/>
    <w:rsid w:val="00212CE8"/>
    <w:rsid w:val="00213EA9"/>
    <w:rsid w:val="0021501D"/>
    <w:rsid w:val="0021681B"/>
    <w:rsid w:val="00216E94"/>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0723"/>
    <w:rsid w:val="002311F2"/>
    <w:rsid w:val="00232834"/>
    <w:rsid w:val="00232C37"/>
    <w:rsid w:val="002356C8"/>
    <w:rsid w:val="00235D6D"/>
    <w:rsid w:val="00236E73"/>
    <w:rsid w:val="002376D0"/>
    <w:rsid w:val="00240C12"/>
    <w:rsid w:val="00240FB8"/>
    <w:rsid w:val="00241961"/>
    <w:rsid w:val="00241E55"/>
    <w:rsid w:val="00242EB3"/>
    <w:rsid w:val="00243145"/>
    <w:rsid w:val="002431EA"/>
    <w:rsid w:val="00243394"/>
    <w:rsid w:val="002436A6"/>
    <w:rsid w:val="00243755"/>
    <w:rsid w:val="00243D38"/>
    <w:rsid w:val="00244F2A"/>
    <w:rsid w:val="00245066"/>
    <w:rsid w:val="00245D01"/>
    <w:rsid w:val="00245E1F"/>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42D"/>
    <w:rsid w:val="00266652"/>
    <w:rsid w:val="00267363"/>
    <w:rsid w:val="00270A44"/>
    <w:rsid w:val="0027229B"/>
    <w:rsid w:val="00273288"/>
    <w:rsid w:val="00274751"/>
    <w:rsid w:val="00275D12"/>
    <w:rsid w:val="00275EDA"/>
    <w:rsid w:val="00275EFC"/>
    <w:rsid w:val="00275F52"/>
    <w:rsid w:val="00276181"/>
    <w:rsid w:val="00276E01"/>
    <w:rsid w:val="00277B44"/>
    <w:rsid w:val="00280AA1"/>
    <w:rsid w:val="00281CD8"/>
    <w:rsid w:val="00281D97"/>
    <w:rsid w:val="00282919"/>
    <w:rsid w:val="00283073"/>
    <w:rsid w:val="0028349E"/>
    <w:rsid w:val="00283DDE"/>
    <w:rsid w:val="00283E36"/>
    <w:rsid w:val="00284F7B"/>
    <w:rsid w:val="002857E7"/>
    <w:rsid w:val="002860C4"/>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9E8"/>
    <w:rsid w:val="002979F7"/>
    <w:rsid w:val="002A0057"/>
    <w:rsid w:val="002A076D"/>
    <w:rsid w:val="002A10DA"/>
    <w:rsid w:val="002A12FB"/>
    <w:rsid w:val="002A192B"/>
    <w:rsid w:val="002A221E"/>
    <w:rsid w:val="002A2C1F"/>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5FD4"/>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6DA"/>
    <w:rsid w:val="002F5AF8"/>
    <w:rsid w:val="002F6753"/>
    <w:rsid w:val="002F6A69"/>
    <w:rsid w:val="002F6C4F"/>
    <w:rsid w:val="002F6DA9"/>
    <w:rsid w:val="002F7AAA"/>
    <w:rsid w:val="00300B42"/>
    <w:rsid w:val="00301188"/>
    <w:rsid w:val="003013B8"/>
    <w:rsid w:val="00301963"/>
    <w:rsid w:val="00301C0F"/>
    <w:rsid w:val="00302A2C"/>
    <w:rsid w:val="00302E56"/>
    <w:rsid w:val="003030DC"/>
    <w:rsid w:val="003039DA"/>
    <w:rsid w:val="00303C0A"/>
    <w:rsid w:val="003052E9"/>
    <w:rsid w:val="00305409"/>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97"/>
    <w:rsid w:val="003230F1"/>
    <w:rsid w:val="0032441B"/>
    <w:rsid w:val="003244D1"/>
    <w:rsid w:val="00324CDB"/>
    <w:rsid w:val="00326021"/>
    <w:rsid w:val="003324E0"/>
    <w:rsid w:val="00332928"/>
    <w:rsid w:val="0033463A"/>
    <w:rsid w:val="003350E5"/>
    <w:rsid w:val="00336875"/>
    <w:rsid w:val="00337988"/>
    <w:rsid w:val="00337F21"/>
    <w:rsid w:val="00340BF6"/>
    <w:rsid w:val="00341121"/>
    <w:rsid w:val="00341B75"/>
    <w:rsid w:val="00343C53"/>
    <w:rsid w:val="0034523B"/>
    <w:rsid w:val="003466AD"/>
    <w:rsid w:val="00347054"/>
    <w:rsid w:val="00347873"/>
    <w:rsid w:val="00347EB2"/>
    <w:rsid w:val="00350F38"/>
    <w:rsid w:val="0035148D"/>
    <w:rsid w:val="0035274B"/>
    <w:rsid w:val="003527CF"/>
    <w:rsid w:val="003536C1"/>
    <w:rsid w:val="0035635D"/>
    <w:rsid w:val="003563DC"/>
    <w:rsid w:val="00356899"/>
    <w:rsid w:val="00356BA0"/>
    <w:rsid w:val="0035760F"/>
    <w:rsid w:val="00360CD0"/>
    <w:rsid w:val="00362568"/>
    <w:rsid w:val="00362738"/>
    <w:rsid w:val="00363F28"/>
    <w:rsid w:val="00364262"/>
    <w:rsid w:val="003645D7"/>
    <w:rsid w:val="0036497A"/>
    <w:rsid w:val="00364F60"/>
    <w:rsid w:val="00367644"/>
    <w:rsid w:val="003678BD"/>
    <w:rsid w:val="003707D3"/>
    <w:rsid w:val="00372D8C"/>
    <w:rsid w:val="00373587"/>
    <w:rsid w:val="003735BE"/>
    <w:rsid w:val="003739E3"/>
    <w:rsid w:val="003745C3"/>
    <w:rsid w:val="00375141"/>
    <w:rsid w:val="00375852"/>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3A"/>
    <w:rsid w:val="003D0759"/>
    <w:rsid w:val="003D103F"/>
    <w:rsid w:val="003D28DD"/>
    <w:rsid w:val="003D2EE8"/>
    <w:rsid w:val="003D2F71"/>
    <w:rsid w:val="003D3570"/>
    <w:rsid w:val="003D36E6"/>
    <w:rsid w:val="003D54FA"/>
    <w:rsid w:val="003D5B65"/>
    <w:rsid w:val="003D6541"/>
    <w:rsid w:val="003D66EB"/>
    <w:rsid w:val="003D6838"/>
    <w:rsid w:val="003D716B"/>
    <w:rsid w:val="003E0222"/>
    <w:rsid w:val="003E0E5A"/>
    <w:rsid w:val="003E149A"/>
    <w:rsid w:val="003E1A36"/>
    <w:rsid w:val="003E1AF7"/>
    <w:rsid w:val="003E22F9"/>
    <w:rsid w:val="003E24D7"/>
    <w:rsid w:val="003E316D"/>
    <w:rsid w:val="003E34C7"/>
    <w:rsid w:val="003E3DD4"/>
    <w:rsid w:val="003E49EB"/>
    <w:rsid w:val="003E5A59"/>
    <w:rsid w:val="003E5D3B"/>
    <w:rsid w:val="003E705F"/>
    <w:rsid w:val="003E7A13"/>
    <w:rsid w:val="003F06FD"/>
    <w:rsid w:val="003F0BB2"/>
    <w:rsid w:val="003F1537"/>
    <w:rsid w:val="003F1645"/>
    <w:rsid w:val="003F18E2"/>
    <w:rsid w:val="003F1A77"/>
    <w:rsid w:val="003F2400"/>
    <w:rsid w:val="003F31F2"/>
    <w:rsid w:val="003F3B11"/>
    <w:rsid w:val="003F62C6"/>
    <w:rsid w:val="0040016B"/>
    <w:rsid w:val="004011D8"/>
    <w:rsid w:val="0040163E"/>
    <w:rsid w:val="004037E8"/>
    <w:rsid w:val="004040A8"/>
    <w:rsid w:val="004041C4"/>
    <w:rsid w:val="00404D86"/>
    <w:rsid w:val="004109D2"/>
    <w:rsid w:val="00410BE5"/>
    <w:rsid w:val="00410C28"/>
    <w:rsid w:val="00410D44"/>
    <w:rsid w:val="00410D7D"/>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B73"/>
    <w:rsid w:val="00462619"/>
    <w:rsid w:val="004631EC"/>
    <w:rsid w:val="00464520"/>
    <w:rsid w:val="00464F27"/>
    <w:rsid w:val="004664A1"/>
    <w:rsid w:val="00466F11"/>
    <w:rsid w:val="00467FA8"/>
    <w:rsid w:val="00470D55"/>
    <w:rsid w:val="00471092"/>
    <w:rsid w:val="00471B88"/>
    <w:rsid w:val="00471C7C"/>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349D"/>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748A"/>
    <w:rsid w:val="004B75B7"/>
    <w:rsid w:val="004B7F14"/>
    <w:rsid w:val="004C0356"/>
    <w:rsid w:val="004C16D7"/>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34F9"/>
    <w:rsid w:val="004D4CFF"/>
    <w:rsid w:val="004D50F4"/>
    <w:rsid w:val="004D59A5"/>
    <w:rsid w:val="004D68F9"/>
    <w:rsid w:val="004E01DA"/>
    <w:rsid w:val="004E0C63"/>
    <w:rsid w:val="004E0E63"/>
    <w:rsid w:val="004E1161"/>
    <w:rsid w:val="004E143A"/>
    <w:rsid w:val="004E1D17"/>
    <w:rsid w:val="004E290D"/>
    <w:rsid w:val="004E2C5A"/>
    <w:rsid w:val="004E3244"/>
    <w:rsid w:val="004E3465"/>
    <w:rsid w:val="004E35E1"/>
    <w:rsid w:val="004E45CE"/>
    <w:rsid w:val="004E537A"/>
    <w:rsid w:val="004E57C6"/>
    <w:rsid w:val="004E5E83"/>
    <w:rsid w:val="004E5EA6"/>
    <w:rsid w:val="004E6E42"/>
    <w:rsid w:val="004E7520"/>
    <w:rsid w:val="004F0400"/>
    <w:rsid w:val="004F1436"/>
    <w:rsid w:val="004F191F"/>
    <w:rsid w:val="004F1A59"/>
    <w:rsid w:val="004F1F01"/>
    <w:rsid w:val="004F3748"/>
    <w:rsid w:val="004F4AAA"/>
    <w:rsid w:val="004F5851"/>
    <w:rsid w:val="004F61F5"/>
    <w:rsid w:val="004F762E"/>
    <w:rsid w:val="00500308"/>
    <w:rsid w:val="00502095"/>
    <w:rsid w:val="005020BE"/>
    <w:rsid w:val="00504CAE"/>
    <w:rsid w:val="00504FEB"/>
    <w:rsid w:val="00505999"/>
    <w:rsid w:val="00506C4B"/>
    <w:rsid w:val="0050749F"/>
    <w:rsid w:val="005075ED"/>
    <w:rsid w:val="005076BB"/>
    <w:rsid w:val="00507A5C"/>
    <w:rsid w:val="005105B3"/>
    <w:rsid w:val="00510914"/>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2DD8"/>
    <w:rsid w:val="0055344D"/>
    <w:rsid w:val="00554698"/>
    <w:rsid w:val="0055478F"/>
    <w:rsid w:val="00554F51"/>
    <w:rsid w:val="0055506E"/>
    <w:rsid w:val="005552C0"/>
    <w:rsid w:val="005568E9"/>
    <w:rsid w:val="005569B1"/>
    <w:rsid w:val="00556E5D"/>
    <w:rsid w:val="00557349"/>
    <w:rsid w:val="00557A7D"/>
    <w:rsid w:val="00560151"/>
    <w:rsid w:val="00560801"/>
    <w:rsid w:val="00561467"/>
    <w:rsid w:val="00561870"/>
    <w:rsid w:val="005620CD"/>
    <w:rsid w:val="005620D7"/>
    <w:rsid w:val="00562843"/>
    <w:rsid w:val="005634BD"/>
    <w:rsid w:val="00563D58"/>
    <w:rsid w:val="00565333"/>
    <w:rsid w:val="005659E7"/>
    <w:rsid w:val="00565B9E"/>
    <w:rsid w:val="00565D55"/>
    <w:rsid w:val="005677DD"/>
    <w:rsid w:val="0057083A"/>
    <w:rsid w:val="0057094C"/>
    <w:rsid w:val="00571884"/>
    <w:rsid w:val="005726F5"/>
    <w:rsid w:val="00573AA1"/>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8F6"/>
    <w:rsid w:val="00584A96"/>
    <w:rsid w:val="00585171"/>
    <w:rsid w:val="00586B4A"/>
    <w:rsid w:val="00587BCE"/>
    <w:rsid w:val="00587C38"/>
    <w:rsid w:val="0059012C"/>
    <w:rsid w:val="0059241F"/>
    <w:rsid w:val="00592B27"/>
    <w:rsid w:val="00592D74"/>
    <w:rsid w:val="00593222"/>
    <w:rsid w:val="00596977"/>
    <w:rsid w:val="0059697F"/>
    <w:rsid w:val="005A01FB"/>
    <w:rsid w:val="005A02B9"/>
    <w:rsid w:val="005A06E0"/>
    <w:rsid w:val="005A0A5C"/>
    <w:rsid w:val="005A0BA9"/>
    <w:rsid w:val="005A1A4A"/>
    <w:rsid w:val="005A215F"/>
    <w:rsid w:val="005A235F"/>
    <w:rsid w:val="005A25EF"/>
    <w:rsid w:val="005A3574"/>
    <w:rsid w:val="005A3FDA"/>
    <w:rsid w:val="005A57E4"/>
    <w:rsid w:val="005A5BCD"/>
    <w:rsid w:val="005A6244"/>
    <w:rsid w:val="005A67CF"/>
    <w:rsid w:val="005A6BB0"/>
    <w:rsid w:val="005A75C4"/>
    <w:rsid w:val="005A794C"/>
    <w:rsid w:val="005A79D8"/>
    <w:rsid w:val="005B0B61"/>
    <w:rsid w:val="005B1D62"/>
    <w:rsid w:val="005B2778"/>
    <w:rsid w:val="005B2C57"/>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2BCC"/>
    <w:rsid w:val="005D33FF"/>
    <w:rsid w:val="005D36E6"/>
    <w:rsid w:val="005D3C2C"/>
    <w:rsid w:val="005D3FD0"/>
    <w:rsid w:val="005D4882"/>
    <w:rsid w:val="005D4CEA"/>
    <w:rsid w:val="005D4D5C"/>
    <w:rsid w:val="005D5D90"/>
    <w:rsid w:val="005D639B"/>
    <w:rsid w:val="005D68AD"/>
    <w:rsid w:val="005D7266"/>
    <w:rsid w:val="005D7669"/>
    <w:rsid w:val="005D7D85"/>
    <w:rsid w:val="005E1838"/>
    <w:rsid w:val="005E1DEB"/>
    <w:rsid w:val="005E2413"/>
    <w:rsid w:val="005E25E0"/>
    <w:rsid w:val="005E2715"/>
    <w:rsid w:val="005E28AB"/>
    <w:rsid w:val="005E2A5A"/>
    <w:rsid w:val="005E2C44"/>
    <w:rsid w:val="005E3493"/>
    <w:rsid w:val="005E390D"/>
    <w:rsid w:val="005E47C1"/>
    <w:rsid w:val="005E53B3"/>
    <w:rsid w:val="005E57B7"/>
    <w:rsid w:val="005E68D3"/>
    <w:rsid w:val="005E6F86"/>
    <w:rsid w:val="005E72EE"/>
    <w:rsid w:val="005E7440"/>
    <w:rsid w:val="005E75F4"/>
    <w:rsid w:val="005F01AF"/>
    <w:rsid w:val="005F052D"/>
    <w:rsid w:val="005F09C6"/>
    <w:rsid w:val="005F19AE"/>
    <w:rsid w:val="005F1C47"/>
    <w:rsid w:val="005F3A0F"/>
    <w:rsid w:val="005F48B1"/>
    <w:rsid w:val="005F509F"/>
    <w:rsid w:val="005F5E8A"/>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087A"/>
    <w:rsid w:val="0061114D"/>
    <w:rsid w:val="00611667"/>
    <w:rsid w:val="00611A2E"/>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3F19"/>
    <w:rsid w:val="006257ED"/>
    <w:rsid w:val="00627128"/>
    <w:rsid w:val="00627F33"/>
    <w:rsid w:val="00630479"/>
    <w:rsid w:val="00631943"/>
    <w:rsid w:val="0063282F"/>
    <w:rsid w:val="006336F2"/>
    <w:rsid w:val="0063439C"/>
    <w:rsid w:val="00634E79"/>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5133"/>
    <w:rsid w:val="00656CCB"/>
    <w:rsid w:val="0065731B"/>
    <w:rsid w:val="00657C80"/>
    <w:rsid w:val="00660BBB"/>
    <w:rsid w:val="00661091"/>
    <w:rsid w:val="00661BF5"/>
    <w:rsid w:val="00662DE9"/>
    <w:rsid w:val="00663D18"/>
    <w:rsid w:val="00663D21"/>
    <w:rsid w:val="00663FAB"/>
    <w:rsid w:val="00664C05"/>
    <w:rsid w:val="006663D5"/>
    <w:rsid w:val="00666D1D"/>
    <w:rsid w:val="00667010"/>
    <w:rsid w:val="00667188"/>
    <w:rsid w:val="00670498"/>
    <w:rsid w:val="0067096B"/>
    <w:rsid w:val="00670F20"/>
    <w:rsid w:val="00671EB8"/>
    <w:rsid w:val="006734FD"/>
    <w:rsid w:val="006738C3"/>
    <w:rsid w:val="00674233"/>
    <w:rsid w:val="00675EB0"/>
    <w:rsid w:val="00675FB0"/>
    <w:rsid w:val="0067659A"/>
    <w:rsid w:val="006777A7"/>
    <w:rsid w:val="00677D04"/>
    <w:rsid w:val="00681593"/>
    <w:rsid w:val="00681AC4"/>
    <w:rsid w:val="00682C60"/>
    <w:rsid w:val="00683937"/>
    <w:rsid w:val="006850E9"/>
    <w:rsid w:val="006851E9"/>
    <w:rsid w:val="00686896"/>
    <w:rsid w:val="006879AF"/>
    <w:rsid w:val="00690236"/>
    <w:rsid w:val="006907A4"/>
    <w:rsid w:val="00690DC1"/>
    <w:rsid w:val="00690DF0"/>
    <w:rsid w:val="00693C24"/>
    <w:rsid w:val="00694755"/>
    <w:rsid w:val="00694D79"/>
    <w:rsid w:val="00695056"/>
    <w:rsid w:val="00695237"/>
    <w:rsid w:val="00695808"/>
    <w:rsid w:val="00696791"/>
    <w:rsid w:val="00696F36"/>
    <w:rsid w:val="006A0792"/>
    <w:rsid w:val="006A1707"/>
    <w:rsid w:val="006A1F9C"/>
    <w:rsid w:val="006A2808"/>
    <w:rsid w:val="006A2819"/>
    <w:rsid w:val="006A477D"/>
    <w:rsid w:val="006A6D08"/>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2272"/>
    <w:rsid w:val="006C2B34"/>
    <w:rsid w:val="006C3742"/>
    <w:rsid w:val="006C3854"/>
    <w:rsid w:val="006C3955"/>
    <w:rsid w:val="006C47E7"/>
    <w:rsid w:val="006C60F5"/>
    <w:rsid w:val="006C715A"/>
    <w:rsid w:val="006C72C2"/>
    <w:rsid w:val="006D01D3"/>
    <w:rsid w:val="006D1C90"/>
    <w:rsid w:val="006D270B"/>
    <w:rsid w:val="006D306E"/>
    <w:rsid w:val="006D387B"/>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0BD"/>
    <w:rsid w:val="006F2275"/>
    <w:rsid w:val="006F2BB1"/>
    <w:rsid w:val="006F3FBB"/>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10AB7"/>
    <w:rsid w:val="00711447"/>
    <w:rsid w:val="0071176A"/>
    <w:rsid w:val="00711CD7"/>
    <w:rsid w:val="007120AE"/>
    <w:rsid w:val="007120F4"/>
    <w:rsid w:val="00712B09"/>
    <w:rsid w:val="00712F2E"/>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63B5"/>
    <w:rsid w:val="007266B2"/>
    <w:rsid w:val="00726993"/>
    <w:rsid w:val="00727328"/>
    <w:rsid w:val="00727E73"/>
    <w:rsid w:val="007313DF"/>
    <w:rsid w:val="007319D5"/>
    <w:rsid w:val="007331C7"/>
    <w:rsid w:val="00733BB9"/>
    <w:rsid w:val="00734345"/>
    <w:rsid w:val="00735465"/>
    <w:rsid w:val="00735B72"/>
    <w:rsid w:val="007362B9"/>
    <w:rsid w:val="007365DD"/>
    <w:rsid w:val="007375D7"/>
    <w:rsid w:val="00737D6B"/>
    <w:rsid w:val="00737E04"/>
    <w:rsid w:val="0074196E"/>
    <w:rsid w:val="00743550"/>
    <w:rsid w:val="0074380F"/>
    <w:rsid w:val="00743B6A"/>
    <w:rsid w:val="0074467A"/>
    <w:rsid w:val="00744952"/>
    <w:rsid w:val="00745426"/>
    <w:rsid w:val="00745545"/>
    <w:rsid w:val="00745F3E"/>
    <w:rsid w:val="00746FD4"/>
    <w:rsid w:val="00747830"/>
    <w:rsid w:val="00747ECF"/>
    <w:rsid w:val="007502FA"/>
    <w:rsid w:val="0075180D"/>
    <w:rsid w:val="00751CE2"/>
    <w:rsid w:val="00751D9D"/>
    <w:rsid w:val="00752139"/>
    <w:rsid w:val="007526B0"/>
    <w:rsid w:val="00753659"/>
    <w:rsid w:val="007547E0"/>
    <w:rsid w:val="00755C0C"/>
    <w:rsid w:val="0076004E"/>
    <w:rsid w:val="007607A4"/>
    <w:rsid w:val="007616D0"/>
    <w:rsid w:val="00762E12"/>
    <w:rsid w:val="007634C8"/>
    <w:rsid w:val="00763F13"/>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940"/>
    <w:rsid w:val="00785FE5"/>
    <w:rsid w:val="0078668A"/>
    <w:rsid w:val="007900D0"/>
    <w:rsid w:val="0079092B"/>
    <w:rsid w:val="00790AA4"/>
    <w:rsid w:val="007919B5"/>
    <w:rsid w:val="00791A9E"/>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4FF1"/>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78B"/>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AB0"/>
    <w:rsid w:val="00800C5B"/>
    <w:rsid w:val="008014A5"/>
    <w:rsid w:val="00801717"/>
    <w:rsid w:val="0080296D"/>
    <w:rsid w:val="008036C0"/>
    <w:rsid w:val="00803783"/>
    <w:rsid w:val="008041C0"/>
    <w:rsid w:val="00804F83"/>
    <w:rsid w:val="00805214"/>
    <w:rsid w:val="0080593B"/>
    <w:rsid w:val="008066FB"/>
    <w:rsid w:val="0081006D"/>
    <w:rsid w:val="00810476"/>
    <w:rsid w:val="00811341"/>
    <w:rsid w:val="008114B6"/>
    <w:rsid w:val="008116FD"/>
    <w:rsid w:val="0081170F"/>
    <w:rsid w:val="0081182E"/>
    <w:rsid w:val="00811971"/>
    <w:rsid w:val="00811A87"/>
    <w:rsid w:val="0081200C"/>
    <w:rsid w:val="008120CC"/>
    <w:rsid w:val="0081269F"/>
    <w:rsid w:val="0081307E"/>
    <w:rsid w:val="008136B4"/>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37400"/>
    <w:rsid w:val="0084087A"/>
    <w:rsid w:val="008411FB"/>
    <w:rsid w:val="00841859"/>
    <w:rsid w:val="008419BD"/>
    <w:rsid w:val="00841F75"/>
    <w:rsid w:val="00842C64"/>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2A1"/>
    <w:rsid w:val="00892608"/>
    <w:rsid w:val="00892FBD"/>
    <w:rsid w:val="008939D1"/>
    <w:rsid w:val="00893A53"/>
    <w:rsid w:val="00894795"/>
    <w:rsid w:val="008947BF"/>
    <w:rsid w:val="00894B9D"/>
    <w:rsid w:val="0089560E"/>
    <w:rsid w:val="0089638A"/>
    <w:rsid w:val="0089641E"/>
    <w:rsid w:val="00897825"/>
    <w:rsid w:val="00897C43"/>
    <w:rsid w:val="00897CED"/>
    <w:rsid w:val="008A09E5"/>
    <w:rsid w:val="008A0DE8"/>
    <w:rsid w:val="008A1155"/>
    <w:rsid w:val="008A14AD"/>
    <w:rsid w:val="008A1791"/>
    <w:rsid w:val="008A24B3"/>
    <w:rsid w:val="008A2E55"/>
    <w:rsid w:val="008A2EC0"/>
    <w:rsid w:val="008A36E3"/>
    <w:rsid w:val="008A38AE"/>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201"/>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0B9"/>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8F7DE0"/>
    <w:rsid w:val="009001C6"/>
    <w:rsid w:val="00901E8E"/>
    <w:rsid w:val="009026A4"/>
    <w:rsid w:val="00903682"/>
    <w:rsid w:val="00903B46"/>
    <w:rsid w:val="0090501B"/>
    <w:rsid w:val="00905803"/>
    <w:rsid w:val="009058E6"/>
    <w:rsid w:val="00906F20"/>
    <w:rsid w:val="009078C7"/>
    <w:rsid w:val="00907ADE"/>
    <w:rsid w:val="00912803"/>
    <w:rsid w:val="0091390D"/>
    <w:rsid w:val="00915F9C"/>
    <w:rsid w:val="009161D4"/>
    <w:rsid w:val="00916583"/>
    <w:rsid w:val="009176E4"/>
    <w:rsid w:val="009200ED"/>
    <w:rsid w:val="00922DE3"/>
    <w:rsid w:val="0092317E"/>
    <w:rsid w:val="009233C5"/>
    <w:rsid w:val="0092453D"/>
    <w:rsid w:val="00924665"/>
    <w:rsid w:val="009246FF"/>
    <w:rsid w:val="009249FB"/>
    <w:rsid w:val="00924BC8"/>
    <w:rsid w:val="0092512A"/>
    <w:rsid w:val="0092584A"/>
    <w:rsid w:val="00925FC5"/>
    <w:rsid w:val="00927534"/>
    <w:rsid w:val="00927D2A"/>
    <w:rsid w:val="00930F7B"/>
    <w:rsid w:val="009323D1"/>
    <w:rsid w:val="0093290D"/>
    <w:rsid w:val="009337E2"/>
    <w:rsid w:val="00933EC9"/>
    <w:rsid w:val="0093465F"/>
    <w:rsid w:val="009348D9"/>
    <w:rsid w:val="00934A3F"/>
    <w:rsid w:val="00935BA2"/>
    <w:rsid w:val="00935CB5"/>
    <w:rsid w:val="00935F80"/>
    <w:rsid w:val="0093676E"/>
    <w:rsid w:val="0093736D"/>
    <w:rsid w:val="00940C82"/>
    <w:rsid w:val="00940EA4"/>
    <w:rsid w:val="00941C8B"/>
    <w:rsid w:val="009430FF"/>
    <w:rsid w:val="00943F8B"/>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6165"/>
    <w:rsid w:val="009564D6"/>
    <w:rsid w:val="009566BB"/>
    <w:rsid w:val="0095721F"/>
    <w:rsid w:val="00957279"/>
    <w:rsid w:val="00960073"/>
    <w:rsid w:val="00960122"/>
    <w:rsid w:val="00960590"/>
    <w:rsid w:val="00960608"/>
    <w:rsid w:val="00960618"/>
    <w:rsid w:val="00960988"/>
    <w:rsid w:val="009609FA"/>
    <w:rsid w:val="00961660"/>
    <w:rsid w:val="009629CA"/>
    <w:rsid w:val="00962E3B"/>
    <w:rsid w:val="009638CF"/>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5F92"/>
    <w:rsid w:val="009776EE"/>
    <w:rsid w:val="009777D9"/>
    <w:rsid w:val="009811CE"/>
    <w:rsid w:val="0098188F"/>
    <w:rsid w:val="009828FE"/>
    <w:rsid w:val="00982BD6"/>
    <w:rsid w:val="009837FE"/>
    <w:rsid w:val="00985260"/>
    <w:rsid w:val="00990326"/>
    <w:rsid w:val="00990561"/>
    <w:rsid w:val="00990C15"/>
    <w:rsid w:val="009918E3"/>
    <w:rsid w:val="00991B88"/>
    <w:rsid w:val="00991D70"/>
    <w:rsid w:val="0099250C"/>
    <w:rsid w:val="00992B7B"/>
    <w:rsid w:val="00992F9B"/>
    <w:rsid w:val="00994A63"/>
    <w:rsid w:val="00994B13"/>
    <w:rsid w:val="0099606D"/>
    <w:rsid w:val="0099651F"/>
    <w:rsid w:val="00997593"/>
    <w:rsid w:val="009A04CC"/>
    <w:rsid w:val="009A0747"/>
    <w:rsid w:val="009A076A"/>
    <w:rsid w:val="009A276A"/>
    <w:rsid w:val="009A2DEB"/>
    <w:rsid w:val="009A3168"/>
    <w:rsid w:val="009A3564"/>
    <w:rsid w:val="009A579D"/>
    <w:rsid w:val="009A6811"/>
    <w:rsid w:val="009A6F8D"/>
    <w:rsid w:val="009A7FEA"/>
    <w:rsid w:val="009B05F4"/>
    <w:rsid w:val="009B0981"/>
    <w:rsid w:val="009B1AF2"/>
    <w:rsid w:val="009B2AC7"/>
    <w:rsid w:val="009B2C74"/>
    <w:rsid w:val="009B4CCF"/>
    <w:rsid w:val="009B5909"/>
    <w:rsid w:val="009B5C55"/>
    <w:rsid w:val="009B6468"/>
    <w:rsid w:val="009B6770"/>
    <w:rsid w:val="009B7DB1"/>
    <w:rsid w:val="009C0D95"/>
    <w:rsid w:val="009C3156"/>
    <w:rsid w:val="009C49FE"/>
    <w:rsid w:val="009C5A15"/>
    <w:rsid w:val="009C69CD"/>
    <w:rsid w:val="009C6CCD"/>
    <w:rsid w:val="009C7E54"/>
    <w:rsid w:val="009C7EA1"/>
    <w:rsid w:val="009D02C9"/>
    <w:rsid w:val="009D0A87"/>
    <w:rsid w:val="009D15F2"/>
    <w:rsid w:val="009D2E10"/>
    <w:rsid w:val="009D4B37"/>
    <w:rsid w:val="009D4CCB"/>
    <w:rsid w:val="009D4FE9"/>
    <w:rsid w:val="009D5C6C"/>
    <w:rsid w:val="009D673E"/>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2B8C"/>
    <w:rsid w:val="00A03A09"/>
    <w:rsid w:val="00A04AD5"/>
    <w:rsid w:val="00A04B0F"/>
    <w:rsid w:val="00A059D2"/>
    <w:rsid w:val="00A05DE9"/>
    <w:rsid w:val="00A0789F"/>
    <w:rsid w:val="00A07C3C"/>
    <w:rsid w:val="00A07CA2"/>
    <w:rsid w:val="00A10E7C"/>
    <w:rsid w:val="00A11BCD"/>
    <w:rsid w:val="00A1205C"/>
    <w:rsid w:val="00A12257"/>
    <w:rsid w:val="00A1267B"/>
    <w:rsid w:val="00A12F42"/>
    <w:rsid w:val="00A13060"/>
    <w:rsid w:val="00A144DC"/>
    <w:rsid w:val="00A15D3B"/>
    <w:rsid w:val="00A15F51"/>
    <w:rsid w:val="00A17FF8"/>
    <w:rsid w:val="00A20090"/>
    <w:rsid w:val="00A20FE4"/>
    <w:rsid w:val="00A213E5"/>
    <w:rsid w:val="00A22337"/>
    <w:rsid w:val="00A224E8"/>
    <w:rsid w:val="00A22504"/>
    <w:rsid w:val="00A22999"/>
    <w:rsid w:val="00A22BCC"/>
    <w:rsid w:val="00A24032"/>
    <w:rsid w:val="00A246B6"/>
    <w:rsid w:val="00A24DBA"/>
    <w:rsid w:val="00A264A1"/>
    <w:rsid w:val="00A26F9A"/>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8D5"/>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502E"/>
    <w:rsid w:val="00A663C3"/>
    <w:rsid w:val="00A679EC"/>
    <w:rsid w:val="00A67D8A"/>
    <w:rsid w:val="00A7003F"/>
    <w:rsid w:val="00A700BF"/>
    <w:rsid w:val="00A70B1D"/>
    <w:rsid w:val="00A7172B"/>
    <w:rsid w:val="00A73602"/>
    <w:rsid w:val="00A736BE"/>
    <w:rsid w:val="00A73BEC"/>
    <w:rsid w:val="00A7440F"/>
    <w:rsid w:val="00A750A9"/>
    <w:rsid w:val="00A755A8"/>
    <w:rsid w:val="00A7617F"/>
    <w:rsid w:val="00A7671C"/>
    <w:rsid w:val="00A76CCD"/>
    <w:rsid w:val="00A800B5"/>
    <w:rsid w:val="00A8177A"/>
    <w:rsid w:val="00A83013"/>
    <w:rsid w:val="00A8429B"/>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E63"/>
    <w:rsid w:val="00AE018D"/>
    <w:rsid w:val="00AE12EE"/>
    <w:rsid w:val="00AE2046"/>
    <w:rsid w:val="00AE2C7A"/>
    <w:rsid w:val="00AE34EB"/>
    <w:rsid w:val="00AE394C"/>
    <w:rsid w:val="00AE44B8"/>
    <w:rsid w:val="00AE497B"/>
    <w:rsid w:val="00AE54BA"/>
    <w:rsid w:val="00AE56A7"/>
    <w:rsid w:val="00AE5F0C"/>
    <w:rsid w:val="00AE6786"/>
    <w:rsid w:val="00AE6CEB"/>
    <w:rsid w:val="00AE7026"/>
    <w:rsid w:val="00AE7564"/>
    <w:rsid w:val="00AE7D0C"/>
    <w:rsid w:val="00AF0FAF"/>
    <w:rsid w:val="00AF133A"/>
    <w:rsid w:val="00AF1A38"/>
    <w:rsid w:val="00AF28DD"/>
    <w:rsid w:val="00AF3286"/>
    <w:rsid w:val="00AF3325"/>
    <w:rsid w:val="00AF39E1"/>
    <w:rsid w:val="00AF4403"/>
    <w:rsid w:val="00AF4B41"/>
    <w:rsid w:val="00AF56D6"/>
    <w:rsid w:val="00AF631E"/>
    <w:rsid w:val="00AF64DA"/>
    <w:rsid w:val="00AF6D08"/>
    <w:rsid w:val="00B01449"/>
    <w:rsid w:val="00B016A4"/>
    <w:rsid w:val="00B019AC"/>
    <w:rsid w:val="00B0220F"/>
    <w:rsid w:val="00B02264"/>
    <w:rsid w:val="00B033E1"/>
    <w:rsid w:val="00B0341B"/>
    <w:rsid w:val="00B038C8"/>
    <w:rsid w:val="00B04D56"/>
    <w:rsid w:val="00B06825"/>
    <w:rsid w:val="00B06BAD"/>
    <w:rsid w:val="00B07856"/>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2BD"/>
    <w:rsid w:val="00B34410"/>
    <w:rsid w:val="00B3466A"/>
    <w:rsid w:val="00B34853"/>
    <w:rsid w:val="00B3493F"/>
    <w:rsid w:val="00B3559B"/>
    <w:rsid w:val="00B35F33"/>
    <w:rsid w:val="00B3614D"/>
    <w:rsid w:val="00B36319"/>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47D1A"/>
    <w:rsid w:val="00B505FA"/>
    <w:rsid w:val="00B50BD8"/>
    <w:rsid w:val="00B50F71"/>
    <w:rsid w:val="00B51E8A"/>
    <w:rsid w:val="00B52661"/>
    <w:rsid w:val="00B52AE0"/>
    <w:rsid w:val="00B54186"/>
    <w:rsid w:val="00B54416"/>
    <w:rsid w:val="00B54485"/>
    <w:rsid w:val="00B5570A"/>
    <w:rsid w:val="00B5634B"/>
    <w:rsid w:val="00B57761"/>
    <w:rsid w:val="00B612FD"/>
    <w:rsid w:val="00B62C58"/>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074"/>
    <w:rsid w:val="00B7732E"/>
    <w:rsid w:val="00B778F3"/>
    <w:rsid w:val="00B77F7E"/>
    <w:rsid w:val="00B80BB3"/>
    <w:rsid w:val="00B81580"/>
    <w:rsid w:val="00B823CA"/>
    <w:rsid w:val="00B835C7"/>
    <w:rsid w:val="00B84409"/>
    <w:rsid w:val="00B85495"/>
    <w:rsid w:val="00B85611"/>
    <w:rsid w:val="00B85726"/>
    <w:rsid w:val="00B85E21"/>
    <w:rsid w:val="00B873CD"/>
    <w:rsid w:val="00B87676"/>
    <w:rsid w:val="00B90669"/>
    <w:rsid w:val="00B90937"/>
    <w:rsid w:val="00B9124A"/>
    <w:rsid w:val="00B91B11"/>
    <w:rsid w:val="00B928C9"/>
    <w:rsid w:val="00B92B08"/>
    <w:rsid w:val="00B9324E"/>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B7CA7"/>
    <w:rsid w:val="00BC0807"/>
    <w:rsid w:val="00BC146D"/>
    <w:rsid w:val="00BC249C"/>
    <w:rsid w:val="00BC26EF"/>
    <w:rsid w:val="00BC2C8E"/>
    <w:rsid w:val="00BC44AB"/>
    <w:rsid w:val="00BC455C"/>
    <w:rsid w:val="00BC4827"/>
    <w:rsid w:val="00BC53F2"/>
    <w:rsid w:val="00BC58C1"/>
    <w:rsid w:val="00BC5ACE"/>
    <w:rsid w:val="00BD09F5"/>
    <w:rsid w:val="00BD257C"/>
    <w:rsid w:val="00BD279D"/>
    <w:rsid w:val="00BD3926"/>
    <w:rsid w:val="00BD3FBB"/>
    <w:rsid w:val="00BD41C1"/>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3228"/>
    <w:rsid w:val="00BF3400"/>
    <w:rsid w:val="00BF37C1"/>
    <w:rsid w:val="00BF395D"/>
    <w:rsid w:val="00BF4390"/>
    <w:rsid w:val="00BF4E8E"/>
    <w:rsid w:val="00BF54BE"/>
    <w:rsid w:val="00BF5659"/>
    <w:rsid w:val="00BF5843"/>
    <w:rsid w:val="00BF68BB"/>
    <w:rsid w:val="00BF6E24"/>
    <w:rsid w:val="00BF6F62"/>
    <w:rsid w:val="00BF7C9F"/>
    <w:rsid w:val="00C00273"/>
    <w:rsid w:val="00C01284"/>
    <w:rsid w:val="00C01F18"/>
    <w:rsid w:val="00C02101"/>
    <w:rsid w:val="00C0253B"/>
    <w:rsid w:val="00C02768"/>
    <w:rsid w:val="00C04100"/>
    <w:rsid w:val="00C054FF"/>
    <w:rsid w:val="00C05939"/>
    <w:rsid w:val="00C065BF"/>
    <w:rsid w:val="00C0662E"/>
    <w:rsid w:val="00C06FC5"/>
    <w:rsid w:val="00C07168"/>
    <w:rsid w:val="00C0781F"/>
    <w:rsid w:val="00C07A03"/>
    <w:rsid w:val="00C10150"/>
    <w:rsid w:val="00C11614"/>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238A"/>
    <w:rsid w:val="00C34FA5"/>
    <w:rsid w:val="00C373A8"/>
    <w:rsid w:val="00C37B2E"/>
    <w:rsid w:val="00C402C4"/>
    <w:rsid w:val="00C4072E"/>
    <w:rsid w:val="00C41603"/>
    <w:rsid w:val="00C43488"/>
    <w:rsid w:val="00C4375E"/>
    <w:rsid w:val="00C44065"/>
    <w:rsid w:val="00C4612B"/>
    <w:rsid w:val="00C503BF"/>
    <w:rsid w:val="00C50450"/>
    <w:rsid w:val="00C50EB1"/>
    <w:rsid w:val="00C51210"/>
    <w:rsid w:val="00C51879"/>
    <w:rsid w:val="00C51B57"/>
    <w:rsid w:val="00C53527"/>
    <w:rsid w:val="00C54C8A"/>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4E3"/>
    <w:rsid w:val="00C72740"/>
    <w:rsid w:val="00C72F71"/>
    <w:rsid w:val="00C733D8"/>
    <w:rsid w:val="00C73C5E"/>
    <w:rsid w:val="00C749C3"/>
    <w:rsid w:val="00C74A3B"/>
    <w:rsid w:val="00C74BCC"/>
    <w:rsid w:val="00C74D28"/>
    <w:rsid w:val="00C771EE"/>
    <w:rsid w:val="00C80551"/>
    <w:rsid w:val="00C80974"/>
    <w:rsid w:val="00C81781"/>
    <w:rsid w:val="00C81E06"/>
    <w:rsid w:val="00C84330"/>
    <w:rsid w:val="00C84B53"/>
    <w:rsid w:val="00C84B7A"/>
    <w:rsid w:val="00C85734"/>
    <w:rsid w:val="00C857F8"/>
    <w:rsid w:val="00C85868"/>
    <w:rsid w:val="00C85A08"/>
    <w:rsid w:val="00C86568"/>
    <w:rsid w:val="00C87FAA"/>
    <w:rsid w:val="00C90661"/>
    <w:rsid w:val="00C90B9A"/>
    <w:rsid w:val="00C90D9D"/>
    <w:rsid w:val="00C915F5"/>
    <w:rsid w:val="00C92DFB"/>
    <w:rsid w:val="00C93093"/>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5AF"/>
    <w:rsid w:val="00CB17DC"/>
    <w:rsid w:val="00CB1C5D"/>
    <w:rsid w:val="00CB35B7"/>
    <w:rsid w:val="00CB3DB1"/>
    <w:rsid w:val="00CB4DCD"/>
    <w:rsid w:val="00CB5FCC"/>
    <w:rsid w:val="00CB610D"/>
    <w:rsid w:val="00CB68E6"/>
    <w:rsid w:val="00CB6923"/>
    <w:rsid w:val="00CB6E42"/>
    <w:rsid w:val="00CB6E49"/>
    <w:rsid w:val="00CC0DB6"/>
    <w:rsid w:val="00CC1D95"/>
    <w:rsid w:val="00CC216E"/>
    <w:rsid w:val="00CC2280"/>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66F9"/>
    <w:rsid w:val="00CD6D10"/>
    <w:rsid w:val="00CD776E"/>
    <w:rsid w:val="00CE07A8"/>
    <w:rsid w:val="00CE0C2A"/>
    <w:rsid w:val="00CE10DF"/>
    <w:rsid w:val="00CE1A19"/>
    <w:rsid w:val="00CE1F02"/>
    <w:rsid w:val="00CE21F0"/>
    <w:rsid w:val="00CE26DD"/>
    <w:rsid w:val="00CE30BD"/>
    <w:rsid w:val="00CE5962"/>
    <w:rsid w:val="00CE6BD9"/>
    <w:rsid w:val="00CF2DC2"/>
    <w:rsid w:val="00CF35F6"/>
    <w:rsid w:val="00CF41DE"/>
    <w:rsid w:val="00CF5BC2"/>
    <w:rsid w:val="00CF7C00"/>
    <w:rsid w:val="00CF7DDB"/>
    <w:rsid w:val="00D0012B"/>
    <w:rsid w:val="00D01693"/>
    <w:rsid w:val="00D01C8C"/>
    <w:rsid w:val="00D01E17"/>
    <w:rsid w:val="00D03CD5"/>
    <w:rsid w:val="00D03F9A"/>
    <w:rsid w:val="00D041BA"/>
    <w:rsid w:val="00D06BF4"/>
    <w:rsid w:val="00D07272"/>
    <w:rsid w:val="00D078D2"/>
    <w:rsid w:val="00D109A0"/>
    <w:rsid w:val="00D11675"/>
    <w:rsid w:val="00D12112"/>
    <w:rsid w:val="00D125DB"/>
    <w:rsid w:val="00D13E0E"/>
    <w:rsid w:val="00D14817"/>
    <w:rsid w:val="00D14EB0"/>
    <w:rsid w:val="00D176EA"/>
    <w:rsid w:val="00D210F2"/>
    <w:rsid w:val="00D21F95"/>
    <w:rsid w:val="00D223B1"/>
    <w:rsid w:val="00D231F8"/>
    <w:rsid w:val="00D236EC"/>
    <w:rsid w:val="00D23A1B"/>
    <w:rsid w:val="00D23B20"/>
    <w:rsid w:val="00D2471D"/>
    <w:rsid w:val="00D250AE"/>
    <w:rsid w:val="00D251C1"/>
    <w:rsid w:val="00D26053"/>
    <w:rsid w:val="00D26AB7"/>
    <w:rsid w:val="00D26C14"/>
    <w:rsid w:val="00D26C45"/>
    <w:rsid w:val="00D27016"/>
    <w:rsid w:val="00D279AF"/>
    <w:rsid w:val="00D30117"/>
    <w:rsid w:val="00D3057B"/>
    <w:rsid w:val="00D30EF7"/>
    <w:rsid w:val="00D315AE"/>
    <w:rsid w:val="00D317F9"/>
    <w:rsid w:val="00D3235D"/>
    <w:rsid w:val="00D348D4"/>
    <w:rsid w:val="00D36ABF"/>
    <w:rsid w:val="00D36F8F"/>
    <w:rsid w:val="00D373B4"/>
    <w:rsid w:val="00D4060A"/>
    <w:rsid w:val="00D4061E"/>
    <w:rsid w:val="00D41202"/>
    <w:rsid w:val="00D42360"/>
    <w:rsid w:val="00D42642"/>
    <w:rsid w:val="00D426E7"/>
    <w:rsid w:val="00D42AAA"/>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C80"/>
    <w:rsid w:val="00D57D0E"/>
    <w:rsid w:val="00D57FD6"/>
    <w:rsid w:val="00D60618"/>
    <w:rsid w:val="00D60749"/>
    <w:rsid w:val="00D61C44"/>
    <w:rsid w:val="00D6245A"/>
    <w:rsid w:val="00D63AF9"/>
    <w:rsid w:val="00D63EC7"/>
    <w:rsid w:val="00D647F6"/>
    <w:rsid w:val="00D64B36"/>
    <w:rsid w:val="00D64F40"/>
    <w:rsid w:val="00D6508A"/>
    <w:rsid w:val="00D650E3"/>
    <w:rsid w:val="00D6530A"/>
    <w:rsid w:val="00D7000F"/>
    <w:rsid w:val="00D70237"/>
    <w:rsid w:val="00D70B7A"/>
    <w:rsid w:val="00D71637"/>
    <w:rsid w:val="00D716B4"/>
    <w:rsid w:val="00D71A71"/>
    <w:rsid w:val="00D71B0A"/>
    <w:rsid w:val="00D726BF"/>
    <w:rsid w:val="00D72E7E"/>
    <w:rsid w:val="00D7355A"/>
    <w:rsid w:val="00D7480E"/>
    <w:rsid w:val="00D74818"/>
    <w:rsid w:val="00D74995"/>
    <w:rsid w:val="00D74C32"/>
    <w:rsid w:val="00D75841"/>
    <w:rsid w:val="00D76C05"/>
    <w:rsid w:val="00D772B6"/>
    <w:rsid w:val="00D77779"/>
    <w:rsid w:val="00D80251"/>
    <w:rsid w:val="00D8045C"/>
    <w:rsid w:val="00D80760"/>
    <w:rsid w:val="00D81738"/>
    <w:rsid w:val="00D85D4B"/>
    <w:rsid w:val="00D86738"/>
    <w:rsid w:val="00D86A45"/>
    <w:rsid w:val="00D87331"/>
    <w:rsid w:val="00D876EA"/>
    <w:rsid w:val="00D90155"/>
    <w:rsid w:val="00D90FB0"/>
    <w:rsid w:val="00D9144A"/>
    <w:rsid w:val="00D923F6"/>
    <w:rsid w:val="00D93CE7"/>
    <w:rsid w:val="00D93DA4"/>
    <w:rsid w:val="00D94335"/>
    <w:rsid w:val="00D94531"/>
    <w:rsid w:val="00D94B7E"/>
    <w:rsid w:val="00D965C8"/>
    <w:rsid w:val="00D9718D"/>
    <w:rsid w:val="00DA0FB8"/>
    <w:rsid w:val="00DA1A0F"/>
    <w:rsid w:val="00DA310E"/>
    <w:rsid w:val="00DA3DD1"/>
    <w:rsid w:val="00DA40B8"/>
    <w:rsid w:val="00DA466E"/>
    <w:rsid w:val="00DA4D2E"/>
    <w:rsid w:val="00DA536B"/>
    <w:rsid w:val="00DA5611"/>
    <w:rsid w:val="00DA66AD"/>
    <w:rsid w:val="00DA6AAA"/>
    <w:rsid w:val="00DA6E73"/>
    <w:rsid w:val="00DA702D"/>
    <w:rsid w:val="00DA7EC0"/>
    <w:rsid w:val="00DB1296"/>
    <w:rsid w:val="00DB21C9"/>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EB9"/>
    <w:rsid w:val="00DD2737"/>
    <w:rsid w:val="00DD2AA9"/>
    <w:rsid w:val="00DD3603"/>
    <w:rsid w:val="00DD38E0"/>
    <w:rsid w:val="00DD3A71"/>
    <w:rsid w:val="00DD54AC"/>
    <w:rsid w:val="00DD6720"/>
    <w:rsid w:val="00DD69AE"/>
    <w:rsid w:val="00DD72E4"/>
    <w:rsid w:val="00DD7C4C"/>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CD9"/>
    <w:rsid w:val="00E01551"/>
    <w:rsid w:val="00E019C2"/>
    <w:rsid w:val="00E01B9A"/>
    <w:rsid w:val="00E022D3"/>
    <w:rsid w:val="00E02F75"/>
    <w:rsid w:val="00E03AF8"/>
    <w:rsid w:val="00E03E33"/>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1F76"/>
    <w:rsid w:val="00E2251B"/>
    <w:rsid w:val="00E23240"/>
    <w:rsid w:val="00E242A7"/>
    <w:rsid w:val="00E243D1"/>
    <w:rsid w:val="00E25FA4"/>
    <w:rsid w:val="00E26EA4"/>
    <w:rsid w:val="00E27D80"/>
    <w:rsid w:val="00E30B66"/>
    <w:rsid w:val="00E3124B"/>
    <w:rsid w:val="00E32EF4"/>
    <w:rsid w:val="00E330E9"/>
    <w:rsid w:val="00E334F8"/>
    <w:rsid w:val="00E35004"/>
    <w:rsid w:val="00E356CA"/>
    <w:rsid w:val="00E35B05"/>
    <w:rsid w:val="00E35B62"/>
    <w:rsid w:val="00E35FDB"/>
    <w:rsid w:val="00E36979"/>
    <w:rsid w:val="00E40E5A"/>
    <w:rsid w:val="00E41344"/>
    <w:rsid w:val="00E417C3"/>
    <w:rsid w:val="00E42F0A"/>
    <w:rsid w:val="00E43576"/>
    <w:rsid w:val="00E43874"/>
    <w:rsid w:val="00E43C64"/>
    <w:rsid w:val="00E4435C"/>
    <w:rsid w:val="00E44E66"/>
    <w:rsid w:val="00E46117"/>
    <w:rsid w:val="00E46169"/>
    <w:rsid w:val="00E4747F"/>
    <w:rsid w:val="00E517F9"/>
    <w:rsid w:val="00E51877"/>
    <w:rsid w:val="00E51C41"/>
    <w:rsid w:val="00E51F50"/>
    <w:rsid w:val="00E52488"/>
    <w:rsid w:val="00E52B37"/>
    <w:rsid w:val="00E52C58"/>
    <w:rsid w:val="00E53326"/>
    <w:rsid w:val="00E5382B"/>
    <w:rsid w:val="00E53AC6"/>
    <w:rsid w:val="00E54045"/>
    <w:rsid w:val="00E55966"/>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48DA"/>
    <w:rsid w:val="00E948E6"/>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1D05"/>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61B"/>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833"/>
    <w:rsid w:val="00ED3B11"/>
    <w:rsid w:val="00ED54B6"/>
    <w:rsid w:val="00ED5BA6"/>
    <w:rsid w:val="00ED5F7A"/>
    <w:rsid w:val="00ED65CD"/>
    <w:rsid w:val="00ED6BF3"/>
    <w:rsid w:val="00ED7AE1"/>
    <w:rsid w:val="00EE016C"/>
    <w:rsid w:val="00EE08B8"/>
    <w:rsid w:val="00EE13F6"/>
    <w:rsid w:val="00EE1B8A"/>
    <w:rsid w:val="00EE23E9"/>
    <w:rsid w:val="00EE3106"/>
    <w:rsid w:val="00EE32CE"/>
    <w:rsid w:val="00EE3BD7"/>
    <w:rsid w:val="00EE3D1D"/>
    <w:rsid w:val="00EE3DDF"/>
    <w:rsid w:val="00EE48EB"/>
    <w:rsid w:val="00EE5707"/>
    <w:rsid w:val="00EE5F9D"/>
    <w:rsid w:val="00EE6163"/>
    <w:rsid w:val="00EE69E2"/>
    <w:rsid w:val="00EE6F57"/>
    <w:rsid w:val="00EE73A2"/>
    <w:rsid w:val="00EE7D7C"/>
    <w:rsid w:val="00EE7DEA"/>
    <w:rsid w:val="00EE7DF1"/>
    <w:rsid w:val="00EF04A2"/>
    <w:rsid w:val="00EF06D2"/>
    <w:rsid w:val="00EF11DD"/>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36DE"/>
    <w:rsid w:val="00F14BCF"/>
    <w:rsid w:val="00F14F8E"/>
    <w:rsid w:val="00F1568B"/>
    <w:rsid w:val="00F1773B"/>
    <w:rsid w:val="00F20A6F"/>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6D02"/>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C34"/>
    <w:rsid w:val="00F5024A"/>
    <w:rsid w:val="00F507B4"/>
    <w:rsid w:val="00F51B6B"/>
    <w:rsid w:val="00F52204"/>
    <w:rsid w:val="00F52F2D"/>
    <w:rsid w:val="00F532EC"/>
    <w:rsid w:val="00F54736"/>
    <w:rsid w:val="00F54FA1"/>
    <w:rsid w:val="00F5511D"/>
    <w:rsid w:val="00F553D9"/>
    <w:rsid w:val="00F57ABA"/>
    <w:rsid w:val="00F57F9F"/>
    <w:rsid w:val="00F601EA"/>
    <w:rsid w:val="00F60B1F"/>
    <w:rsid w:val="00F6168A"/>
    <w:rsid w:val="00F61DCA"/>
    <w:rsid w:val="00F62252"/>
    <w:rsid w:val="00F627A7"/>
    <w:rsid w:val="00F63506"/>
    <w:rsid w:val="00F63B24"/>
    <w:rsid w:val="00F64979"/>
    <w:rsid w:val="00F64CE0"/>
    <w:rsid w:val="00F65A28"/>
    <w:rsid w:val="00F6723F"/>
    <w:rsid w:val="00F673A0"/>
    <w:rsid w:val="00F67DDA"/>
    <w:rsid w:val="00F71DA2"/>
    <w:rsid w:val="00F71DAD"/>
    <w:rsid w:val="00F74533"/>
    <w:rsid w:val="00F75299"/>
    <w:rsid w:val="00F7792E"/>
    <w:rsid w:val="00F80396"/>
    <w:rsid w:val="00F806BB"/>
    <w:rsid w:val="00F8204A"/>
    <w:rsid w:val="00F824CE"/>
    <w:rsid w:val="00F82513"/>
    <w:rsid w:val="00F8277F"/>
    <w:rsid w:val="00F83E73"/>
    <w:rsid w:val="00F846B3"/>
    <w:rsid w:val="00F84DC1"/>
    <w:rsid w:val="00F8543F"/>
    <w:rsid w:val="00F859A5"/>
    <w:rsid w:val="00F859D1"/>
    <w:rsid w:val="00F85F14"/>
    <w:rsid w:val="00F86839"/>
    <w:rsid w:val="00F86902"/>
    <w:rsid w:val="00F86C1F"/>
    <w:rsid w:val="00F90DA8"/>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13C5"/>
    <w:rsid w:val="00FC4248"/>
    <w:rsid w:val="00FC45B5"/>
    <w:rsid w:val="00FC5449"/>
    <w:rsid w:val="00FC6C56"/>
    <w:rsid w:val="00FC6E7E"/>
    <w:rsid w:val="00FC70A3"/>
    <w:rsid w:val="00FD0B64"/>
    <w:rsid w:val="00FD14D7"/>
    <w:rsid w:val="00FD1D74"/>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4FA4"/>
    <w:rsid w:val="00FE5056"/>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0A6C"/>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列表段落"/>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sz w:val="24"/>
      <w:szCs w:val="24"/>
      <w:lang w:val="sv-SE" w:eastAsia="sv-SE"/>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TableNormal"/>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2Char">
    <w:name w:val="Heading 2 Char"/>
    <w:basedOn w:val="DefaultParagraphFont"/>
    <w:link w:val="Heading2"/>
    <w:rsid w:val="005848F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86747">
      <w:bodyDiv w:val="1"/>
      <w:marLeft w:val="0"/>
      <w:marRight w:val="0"/>
      <w:marTop w:val="0"/>
      <w:marBottom w:val="0"/>
      <w:divBdr>
        <w:top w:val="none" w:sz="0" w:space="0" w:color="auto"/>
        <w:left w:val="none" w:sz="0" w:space="0" w:color="auto"/>
        <w:bottom w:val="none" w:sz="0" w:space="0" w:color="auto"/>
        <w:right w:val="none" w:sz="0" w:space="0" w:color="auto"/>
      </w:divBdr>
      <w:divsChild>
        <w:div w:id="519205912">
          <w:marLeft w:val="1166"/>
          <w:marRight w:val="0"/>
          <w:marTop w:val="106"/>
          <w:marBottom w:val="0"/>
          <w:divBdr>
            <w:top w:val="none" w:sz="0" w:space="0" w:color="auto"/>
            <w:left w:val="none" w:sz="0" w:space="0" w:color="auto"/>
            <w:bottom w:val="none" w:sz="0" w:space="0" w:color="auto"/>
            <w:right w:val="none" w:sz="0" w:space="0" w:color="auto"/>
          </w:divBdr>
        </w:div>
        <w:div w:id="982081068">
          <w:marLeft w:val="1800"/>
          <w:marRight w:val="0"/>
          <w:marTop w:val="91"/>
          <w:marBottom w:val="0"/>
          <w:divBdr>
            <w:top w:val="none" w:sz="0" w:space="0" w:color="auto"/>
            <w:left w:val="none" w:sz="0" w:space="0" w:color="auto"/>
            <w:bottom w:val="none" w:sz="0" w:space="0" w:color="auto"/>
            <w:right w:val="none" w:sz="0" w:space="0" w:color="auto"/>
          </w:divBdr>
        </w:div>
        <w:div w:id="1999534435">
          <w:marLeft w:val="1800"/>
          <w:marRight w:val="0"/>
          <w:marTop w:val="91"/>
          <w:marBottom w:val="0"/>
          <w:divBdr>
            <w:top w:val="none" w:sz="0" w:space="0" w:color="auto"/>
            <w:left w:val="none" w:sz="0" w:space="0" w:color="auto"/>
            <w:bottom w:val="none" w:sz="0" w:space="0" w:color="auto"/>
            <w:right w:val="none" w:sz="0" w:space="0" w:color="auto"/>
          </w:divBdr>
        </w:div>
        <w:div w:id="1353338908">
          <w:marLeft w:val="1800"/>
          <w:marRight w:val="0"/>
          <w:marTop w:val="91"/>
          <w:marBottom w:val="0"/>
          <w:divBdr>
            <w:top w:val="none" w:sz="0" w:space="0" w:color="auto"/>
            <w:left w:val="none" w:sz="0" w:space="0" w:color="auto"/>
            <w:bottom w:val="none" w:sz="0" w:space="0" w:color="auto"/>
            <w:right w:val="none" w:sz="0" w:space="0" w:color="auto"/>
          </w:divBdr>
        </w:div>
        <w:div w:id="182868465">
          <w:marLeft w:val="1166"/>
          <w:marRight w:val="0"/>
          <w:marTop w:val="106"/>
          <w:marBottom w:val="0"/>
          <w:divBdr>
            <w:top w:val="none" w:sz="0" w:space="0" w:color="auto"/>
            <w:left w:val="none" w:sz="0" w:space="0" w:color="auto"/>
            <w:bottom w:val="none" w:sz="0" w:space="0" w:color="auto"/>
            <w:right w:val="none" w:sz="0" w:space="0" w:color="auto"/>
          </w:divBdr>
        </w:div>
        <w:div w:id="1688212327">
          <w:marLeft w:val="1800"/>
          <w:marRight w:val="0"/>
          <w:marTop w:val="91"/>
          <w:marBottom w:val="0"/>
          <w:divBdr>
            <w:top w:val="none" w:sz="0" w:space="0" w:color="auto"/>
            <w:left w:val="none" w:sz="0" w:space="0" w:color="auto"/>
            <w:bottom w:val="none" w:sz="0" w:space="0" w:color="auto"/>
            <w:right w:val="none" w:sz="0" w:space="0" w:color="auto"/>
          </w:divBdr>
        </w:div>
        <w:div w:id="114712868">
          <w:marLeft w:val="1800"/>
          <w:marRight w:val="0"/>
          <w:marTop w:val="91"/>
          <w:marBottom w:val="0"/>
          <w:divBdr>
            <w:top w:val="none" w:sz="0" w:space="0" w:color="auto"/>
            <w:left w:val="none" w:sz="0" w:space="0" w:color="auto"/>
            <w:bottom w:val="none" w:sz="0" w:space="0" w:color="auto"/>
            <w:right w:val="none" w:sz="0" w:space="0" w:color="auto"/>
          </w:divBdr>
        </w:div>
        <w:div w:id="2090153097">
          <w:marLeft w:val="1800"/>
          <w:marRight w:val="0"/>
          <w:marTop w:val="91"/>
          <w:marBottom w:val="0"/>
          <w:divBdr>
            <w:top w:val="none" w:sz="0" w:space="0" w:color="auto"/>
            <w:left w:val="none" w:sz="0" w:space="0" w:color="auto"/>
            <w:bottom w:val="none" w:sz="0" w:space="0" w:color="auto"/>
            <w:right w:val="none" w:sz="0" w:space="0" w:color="auto"/>
          </w:divBdr>
        </w:div>
      </w:divsChild>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88744599">
      <w:bodyDiv w:val="1"/>
      <w:marLeft w:val="0"/>
      <w:marRight w:val="0"/>
      <w:marTop w:val="0"/>
      <w:marBottom w:val="0"/>
      <w:divBdr>
        <w:top w:val="none" w:sz="0" w:space="0" w:color="auto"/>
        <w:left w:val="none" w:sz="0" w:space="0" w:color="auto"/>
        <w:bottom w:val="none" w:sz="0" w:space="0" w:color="auto"/>
        <w:right w:val="none" w:sz="0" w:space="0" w:color="auto"/>
      </w:divBdr>
      <w:divsChild>
        <w:div w:id="875895112">
          <w:marLeft w:val="1166"/>
          <w:marRight w:val="0"/>
          <w:marTop w:val="115"/>
          <w:marBottom w:val="0"/>
          <w:divBdr>
            <w:top w:val="none" w:sz="0" w:space="0" w:color="auto"/>
            <w:left w:val="none" w:sz="0" w:space="0" w:color="auto"/>
            <w:bottom w:val="none" w:sz="0" w:space="0" w:color="auto"/>
            <w:right w:val="none" w:sz="0" w:space="0" w:color="auto"/>
          </w:divBdr>
        </w:div>
        <w:div w:id="644703247">
          <w:marLeft w:val="1800"/>
          <w:marRight w:val="0"/>
          <w:marTop w:val="96"/>
          <w:marBottom w:val="0"/>
          <w:divBdr>
            <w:top w:val="none" w:sz="0" w:space="0" w:color="auto"/>
            <w:left w:val="none" w:sz="0" w:space="0" w:color="auto"/>
            <w:bottom w:val="none" w:sz="0" w:space="0" w:color="auto"/>
            <w:right w:val="none" w:sz="0" w:space="0" w:color="auto"/>
          </w:divBdr>
        </w:div>
        <w:div w:id="1910924562">
          <w:marLeft w:val="1800"/>
          <w:marRight w:val="0"/>
          <w:marTop w:val="96"/>
          <w:marBottom w:val="0"/>
          <w:divBdr>
            <w:top w:val="none" w:sz="0" w:space="0" w:color="auto"/>
            <w:left w:val="none" w:sz="0" w:space="0" w:color="auto"/>
            <w:bottom w:val="none" w:sz="0" w:space="0" w:color="auto"/>
            <w:right w:val="none" w:sz="0" w:space="0" w:color="auto"/>
          </w:divBdr>
        </w:div>
        <w:div w:id="940139968">
          <w:marLeft w:val="1166"/>
          <w:marRight w:val="0"/>
          <w:marTop w:val="115"/>
          <w:marBottom w:val="0"/>
          <w:divBdr>
            <w:top w:val="none" w:sz="0" w:space="0" w:color="auto"/>
            <w:left w:val="none" w:sz="0" w:space="0" w:color="auto"/>
            <w:bottom w:val="none" w:sz="0" w:space="0" w:color="auto"/>
            <w:right w:val="none" w:sz="0" w:space="0" w:color="auto"/>
          </w:divBdr>
        </w:div>
        <w:div w:id="946231224">
          <w:marLeft w:val="1800"/>
          <w:marRight w:val="0"/>
          <w:marTop w:val="96"/>
          <w:marBottom w:val="0"/>
          <w:divBdr>
            <w:top w:val="none" w:sz="0" w:space="0" w:color="auto"/>
            <w:left w:val="none" w:sz="0" w:space="0" w:color="auto"/>
            <w:bottom w:val="none" w:sz="0" w:space="0" w:color="auto"/>
            <w:right w:val="none" w:sz="0" w:space="0" w:color="auto"/>
          </w:divBdr>
        </w:div>
        <w:div w:id="1995335599">
          <w:marLeft w:val="1800"/>
          <w:marRight w:val="0"/>
          <w:marTop w:val="96"/>
          <w:marBottom w:val="0"/>
          <w:divBdr>
            <w:top w:val="none" w:sz="0" w:space="0" w:color="auto"/>
            <w:left w:val="none" w:sz="0" w:space="0" w:color="auto"/>
            <w:bottom w:val="none" w:sz="0" w:space="0" w:color="auto"/>
            <w:right w:val="none" w:sz="0" w:space="0" w:color="auto"/>
          </w:divBdr>
        </w:div>
        <w:div w:id="1072461532">
          <w:marLeft w:val="1800"/>
          <w:marRight w:val="0"/>
          <w:marTop w:val="96"/>
          <w:marBottom w:val="0"/>
          <w:divBdr>
            <w:top w:val="none" w:sz="0" w:space="0" w:color="auto"/>
            <w:left w:val="none" w:sz="0" w:space="0" w:color="auto"/>
            <w:bottom w:val="none" w:sz="0" w:space="0" w:color="auto"/>
            <w:right w:val="none" w:sz="0" w:space="0" w:color="auto"/>
          </w:divBdr>
        </w:div>
      </w:divsChild>
    </w:div>
    <w:div w:id="155607216">
      <w:bodyDiv w:val="1"/>
      <w:marLeft w:val="0"/>
      <w:marRight w:val="0"/>
      <w:marTop w:val="0"/>
      <w:marBottom w:val="0"/>
      <w:divBdr>
        <w:top w:val="none" w:sz="0" w:space="0" w:color="auto"/>
        <w:left w:val="none" w:sz="0" w:space="0" w:color="auto"/>
        <w:bottom w:val="none" w:sz="0" w:space="0" w:color="auto"/>
        <w:right w:val="none" w:sz="0" w:space="0" w:color="auto"/>
      </w:divBdr>
      <w:divsChild>
        <w:div w:id="1991713827">
          <w:marLeft w:val="1166"/>
          <w:marRight w:val="0"/>
          <w:marTop w:val="106"/>
          <w:marBottom w:val="0"/>
          <w:divBdr>
            <w:top w:val="none" w:sz="0" w:space="0" w:color="auto"/>
            <w:left w:val="none" w:sz="0" w:space="0" w:color="auto"/>
            <w:bottom w:val="none" w:sz="0" w:space="0" w:color="auto"/>
            <w:right w:val="none" w:sz="0" w:space="0" w:color="auto"/>
          </w:divBdr>
        </w:div>
        <w:div w:id="141653975">
          <w:marLeft w:val="1800"/>
          <w:marRight w:val="0"/>
          <w:marTop w:val="91"/>
          <w:marBottom w:val="0"/>
          <w:divBdr>
            <w:top w:val="none" w:sz="0" w:space="0" w:color="auto"/>
            <w:left w:val="none" w:sz="0" w:space="0" w:color="auto"/>
            <w:bottom w:val="none" w:sz="0" w:space="0" w:color="auto"/>
            <w:right w:val="none" w:sz="0" w:space="0" w:color="auto"/>
          </w:divBdr>
        </w:div>
        <w:div w:id="1576823010">
          <w:marLeft w:val="1800"/>
          <w:marRight w:val="0"/>
          <w:marTop w:val="91"/>
          <w:marBottom w:val="0"/>
          <w:divBdr>
            <w:top w:val="none" w:sz="0" w:space="0" w:color="auto"/>
            <w:left w:val="none" w:sz="0" w:space="0" w:color="auto"/>
            <w:bottom w:val="none" w:sz="0" w:space="0" w:color="auto"/>
            <w:right w:val="none" w:sz="0" w:space="0" w:color="auto"/>
          </w:divBdr>
        </w:div>
        <w:div w:id="686104381">
          <w:marLeft w:val="1166"/>
          <w:marRight w:val="0"/>
          <w:marTop w:val="106"/>
          <w:marBottom w:val="0"/>
          <w:divBdr>
            <w:top w:val="none" w:sz="0" w:space="0" w:color="auto"/>
            <w:left w:val="none" w:sz="0" w:space="0" w:color="auto"/>
            <w:bottom w:val="none" w:sz="0" w:space="0" w:color="auto"/>
            <w:right w:val="none" w:sz="0" w:space="0" w:color="auto"/>
          </w:divBdr>
        </w:div>
        <w:div w:id="792870424">
          <w:marLeft w:val="1800"/>
          <w:marRight w:val="0"/>
          <w:marTop w:val="91"/>
          <w:marBottom w:val="0"/>
          <w:divBdr>
            <w:top w:val="none" w:sz="0" w:space="0" w:color="auto"/>
            <w:left w:val="none" w:sz="0" w:space="0" w:color="auto"/>
            <w:bottom w:val="none" w:sz="0" w:space="0" w:color="auto"/>
            <w:right w:val="none" w:sz="0" w:space="0" w:color="auto"/>
          </w:divBdr>
        </w:div>
        <w:div w:id="113444644">
          <w:marLeft w:val="1800"/>
          <w:marRight w:val="0"/>
          <w:marTop w:val="91"/>
          <w:marBottom w:val="0"/>
          <w:divBdr>
            <w:top w:val="none" w:sz="0" w:space="0" w:color="auto"/>
            <w:left w:val="none" w:sz="0" w:space="0" w:color="auto"/>
            <w:bottom w:val="none" w:sz="0" w:space="0" w:color="auto"/>
            <w:right w:val="none" w:sz="0" w:space="0" w:color="auto"/>
          </w:divBdr>
        </w:div>
      </w:divsChild>
    </w:div>
    <w:div w:id="170150552">
      <w:bodyDiv w:val="1"/>
      <w:marLeft w:val="0"/>
      <w:marRight w:val="0"/>
      <w:marTop w:val="0"/>
      <w:marBottom w:val="0"/>
      <w:divBdr>
        <w:top w:val="none" w:sz="0" w:space="0" w:color="auto"/>
        <w:left w:val="none" w:sz="0" w:space="0" w:color="auto"/>
        <w:bottom w:val="none" w:sz="0" w:space="0" w:color="auto"/>
        <w:right w:val="none" w:sz="0" w:space="0" w:color="auto"/>
      </w:divBdr>
      <w:divsChild>
        <w:div w:id="1101143619">
          <w:marLeft w:val="1166"/>
          <w:marRight w:val="0"/>
          <w:marTop w:val="106"/>
          <w:marBottom w:val="0"/>
          <w:divBdr>
            <w:top w:val="none" w:sz="0" w:space="0" w:color="auto"/>
            <w:left w:val="none" w:sz="0" w:space="0" w:color="auto"/>
            <w:bottom w:val="none" w:sz="0" w:space="0" w:color="auto"/>
            <w:right w:val="none" w:sz="0" w:space="0" w:color="auto"/>
          </w:divBdr>
        </w:div>
        <w:div w:id="2143182631">
          <w:marLeft w:val="1800"/>
          <w:marRight w:val="0"/>
          <w:marTop w:val="91"/>
          <w:marBottom w:val="0"/>
          <w:divBdr>
            <w:top w:val="none" w:sz="0" w:space="0" w:color="auto"/>
            <w:left w:val="none" w:sz="0" w:space="0" w:color="auto"/>
            <w:bottom w:val="none" w:sz="0" w:space="0" w:color="auto"/>
            <w:right w:val="none" w:sz="0" w:space="0" w:color="auto"/>
          </w:divBdr>
        </w:div>
        <w:div w:id="60492194">
          <w:marLeft w:val="1800"/>
          <w:marRight w:val="0"/>
          <w:marTop w:val="91"/>
          <w:marBottom w:val="0"/>
          <w:divBdr>
            <w:top w:val="none" w:sz="0" w:space="0" w:color="auto"/>
            <w:left w:val="none" w:sz="0" w:space="0" w:color="auto"/>
            <w:bottom w:val="none" w:sz="0" w:space="0" w:color="auto"/>
            <w:right w:val="none" w:sz="0" w:space="0" w:color="auto"/>
          </w:divBdr>
        </w:div>
        <w:div w:id="755588856">
          <w:marLeft w:val="1800"/>
          <w:marRight w:val="0"/>
          <w:marTop w:val="91"/>
          <w:marBottom w:val="0"/>
          <w:divBdr>
            <w:top w:val="none" w:sz="0" w:space="0" w:color="auto"/>
            <w:left w:val="none" w:sz="0" w:space="0" w:color="auto"/>
            <w:bottom w:val="none" w:sz="0" w:space="0" w:color="auto"/>
            <w:right w:val="none" w:sz="0" w:space="0" w:color="auto"/>
          </w:divBdr>
        </w:div>
        <w:div w:id="1740783660">
          <w:marLeft w:val="1166"/>
          <w:marRight w:val="0"/>
          <w:marTop w:val="106"/>
          <w:marBottom w:val="0"/>
          <w:divBdr>
            <w:top w:val="none" w:sz="0" w:space="0" w:color="auto"/>
            <w:left w:val="none" w:sz="0" w:space="0" w:color="auto"/>
            <w:bottom w:val="none" w:sz="0" w:space="0" w:color="auto"/>
            <w:right w:val="none" w:sz="0" w:space="0" w:color="auto"/>
          </w:divBdr>
        </w:div>
        <w:div w:id="271127935">
          <w:marLeft w:val="1800"/>
          <w:marRight w:val="0"/>
          <w:marTop w:val="91"/>
          <w:marBottom w:val="0"/>
          <w:divBdr>
            <w:top w:val="none" w:sz="0" w:space="0" w:color="auto"/>
            <w:left w:val="none" w:sz="0" w:space="0" w:color="auto"/>
            <w:bottom w:val="none" w:sz="0" w:space="0" w:color="auto"/>
            <w:right w:val="none" w:sz="0" w:space="0" w:color="auto"/>
          </w:divBdr>
        </w:div>
        <w:div w:id="537277253">
          <w:marLeft w:val="1800"/>
          <w:marRight w:val="0"/>
          <w:marTop w:val="91"/>
          <w:marBottom w:val="0"/>
          <w:divBdr>
            <w:top w:val="none" w:sz="0" w:space="0" w:color="auto"/>
            <w:left w:val="none" w:sz="0" w:space="0" w:color="auto"/>
            <w:bottom w:val="none" w:sz="0" w:space="0" w:color="auto"/>
            <w:right w:val="none" w:sz="0" w:space="0" w:color="auto"/>
          </w:divBdr>
        </w:div>
        <w:div w:id="1918393991">
          <w:marLeft w:val="1800"/>
          <w:marRight w:val="0"/>
          <w:marTop w:val="91"/>
          <w:marBottom w:val="0"/>
          <w:divBdr>
            <w:top w:val="none" w:sz="0" w:space="0" w:color="auto"/>
            <w:left w:val="none" w:sz="0" w:space="0" w:color="auto"/>
            <w:bottom w:val="none" w:sz="0" w:space="0" w:color="auto"/>
            <w:right w:val="none" w:sz="0" w:space="0" w:color="auto"/>
          </w:divBdr>
        </w:div>
      </w:divsChild>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45071026">
      <w:bodyDiv w:val="1"/>
      <w:marLeft w:val="0"/>
      <w:marRight w:val="0"/>
      <w:marTop w:val="0"/>
      <w:marBottom w:val="0"/>
      <w:divBdr>
        <w:top w:val="none" w:sz="0" w:space="0" w:color="auto"/>
        <w:left w:val="none" w:sz="0" w:space="0" w:color="auto"/>
        <w:bottom w:val="none" w:sz="0" w:space="0" w:color="auto"/>
        <w:right w:val="none" w:sz="0" w:space="0" w:color="auto"/>
      </w:divBdr>
      <w:divsChild>
        <w:div w:id="866874699">
          <w:marLeft w:val="1800"/>
          <w:marRight w:val="0"/>
          <w:marTop w:val="72"/>
          <w:marBottom w:val="0"/>
          <w:divBdr>
            <w:top w:val="none" w:sz="0" w:space="0" w:color="auto"/>
            <w:left w:val="none" w:sz="0" w:space="0" w:color="auto"/>
            <w:bottom w:val="none" w:sz="0" w:space="0" w:color="auto"/>
            <w:right w:val="none" w:sz="0" w:space="0" w:color="auto"/>
          </w:divBdr>
        </w:div>
        <w:div w:id="1598252728">
          <w:marLeft w:val="1800"/>
          <w:marRight w:val="0"/>
          <w:marTop w:val="72"/>
          <w:marBottom w:val="0"/>
          <w:divBdr>
            <w:top w:val="none" w:sz="0" w:space="0" w:color="auto"/>
            <w:left w:val="none" w:sz="0" w:space="0" w:color="auto"/>
            <w:bottom w:val="none" w:sz="0" w:space="0" w:color="auto"/>
            <w:right w:val="none" w:sz="0" w:space="0" w:color="auto"/>
          </w:divBdr>
        </w:div>
        <w:div w:id="1148209511">
          <w:marLeft w:val="1800"/>
          <w:marRight w:val="0"/>
          <w:marTop w:val="72"/>
          <w:marBottom w:val="0"/>
          <w:divBdr>
            <w:top w:val="none" w:sz="0" w:space="0" w:color="auto"/>
            <w:left w:val="none" w:sz="0" w:space="0" w:color="auto"/>
            <w:bottom w:val="none" w:sz="0" w:space="0" w:color="auto"/>
            <w:right w:val="none" w:sz="0" w:space="0" w:color="auto"/>
          </w:divBdr>
        </w:div>
        <w:div w:id="272513669">
          <w:marLeft w:val="1800"/>
          <w:marRight w:val="0"/>
          <w:marTop w:val="72"/>
          <w:marBottom w:val="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469983500">
      <w:bodyDiv w:val="1"/>
      <w:marLeft w:val="0"/>
      <w:marRight w:val="0"/>
      <w:marTop w:val="0"/>
      <w:marBottom w:val="0"/>
      <w:divBdr>
        <w:top w:val="none" w:sz="0" w:space="0" w:color="auto"/>
        <w:left w:val="none" w:sz="0" w:space="0" w:color="auto"/>
        <w:bottom w:val="none" w:sz="0" w:space="0" w:color="auto"/>
        <w:right w:val="none" w:sz="0" w:space="0" w:color="auto"/>
      </w:divBdr>
      <w:divsChild>
        <w:div w:id="901864969">
          <w:marLeft w:val="547"/>
          <w:marRight w:val="0"/>
          <w:marTop w:val="106"/>
          <w:marBottom w:val="0"/>
          <w:divBdr>
            <w:top w:val="none" w:sz="0" w:space="0" w:color="auto"/>
            <w:left w:val="none" w:sz="0" w:space="0" w:color="auto"/>
            <w:bottom w:val="none" w:sz="0" w:space="0" w:color="auto"/>
            <w:right w:val="none" w:sz="0" w:space="0" w:color="auto"/>
          </w:divBdr>
        </w:div>
        <w:div w:id="1324821292">
          <w:marLeft w:val="1166"/>
          <w:marRight w:val="0"/>
          <w:marTop w:val="91"/>
          <w:marBottom w:val="0"/>
          <w:divBdr>
            <w:top w:val="none" w:sz="0" w:space="0" w:color="auto"/>
            <w:left w:val="none" w:sz="0" w:space="0" w:color="auto"/>
            <w:bottom w:val="none" w:sz="0" w:space="0" w:color="auto"/>
            <w:right w:val="none" w:sz="0" w:space="0" w:color="auto"/>
          </w:divBdr>
        </w:div>
        <w:div w:id="1519663565">
          <w:marLeft w:val="1800"/>
          <w:marRight w:val="0"/>
          <w:marTop w:val="72"/>
          <w:marBottom w:val="0"/>
          <w:divBdr>
            <w:top w:val="none" w:sz="0" w:space="0" w:color="auto"/>
            <w:left w:val="none" w:sz="0" w:space="0" w:color="auto"/>
            <w:bottom w:val="none" w:sz="0" w:space="0" w:color="auto"/>
            <w:right w:val="none" w:sz="0" w:space="0" w:color="auto"/>
          </w:divBdr>
        </w:div>
        <w:div w:id="621810326">
          <w:marLeft w:val="1800"/>
          <w:marRight w:val="0"/>
          <w:marTop w:val="72"/>
          <w:marBottom w:val="0"/>
          <w:divBdr>
            <w:top w:val="none" w:sz="0" w:space="0" w:color="auto"/>
            <w:left w:val="none" w:sz="0" w:space="0" w:color="auto"/>
            <w:bottom w:val="none" w:sz="0" w:space="0" w:color="auto"/>
            <w:right w:val="none" w:sz="0" w:space="0" w:color="auto"/>
          </w:divBdr>
        </w:div>
        <w:div w:id="667906594">
          <w:marLeft w:val="1800"/>
          <w:marRight w:val="0"/>
          <w:marTop w:val="72"/>
          <w:marBottom w:val="0"/>
          <w:divBdr>
            <w:top w:val="none" w:sz="0" w:space="0" w:color="auto"/>
            <w:left w:val="none" w:sz="0" w:space="0" w:color="auto"/>
            <w:bottom w:val="none" w:sz="0" w:space="0" w:color="auto"/>
            <w:right w:val="none" w:sz="0" w:space="0" w:color="auto"/>
          </w:divBdr>
        </w:div>
        <w:div w:id="1524661410">
          <w:marLeft w:val="1800"/>
          <w:marRight w:val="0"/>
          <w:marTop w:val="72"/>
          <w:marBottom w:val="0"/>
          <w:divBdr>
            <w:top w:val="none" w:sz="0" w:space="0" w:color="auto"/>
            <w:left w:val="none" w:sz="0" w:space="0" w:color="auto"/>
            <w:bottom w:val="none" w:sz="0" w:space="0" w:color="auto"/>
            <w:right w:val="none" w:sz="0" w:space="0" w:color="auto"/>
          </w:divBdr>
        </w:div>
        <w:div w:id="353726597">
          <w:marLeft w:val="1800"/>
          <w:marRight w:val="0"/>
          <w:marTop w:val="72"/>
          <w:marBottom w:val="0"/>
          <w:divBdr>
            <w:top w:val="none" w:sz="0" w:space="0" w:color="auto"/>
            <w:left w:val="none" w:sz="0" w:space="0" w:color="auto"/>
            <w:bottom w:val="none" w:sz="0" w:space="0" w:color="auto"/>
            <w:right w:val="none" w:sz="0" w:space="0" w:color="auto"/>
          </w:divBdr>
        </w:div>
        <w:div w:id="817693719">
          <w:marLeft w:val="1800"/>
          <w:marRight w:val="0"/>
          <w:marTop w:val="72"/>
          <w:marBottom w:val="0"/>
          <w:divBdr>
            <w:top w:val="none" w:sz="0" w:space="0" w:color="auto"/>
            <w:left w:val="none" w:sz="0" w:space="0" w:color="auto"/>
            <w:bottom w:val="none" w:sz="0" w:space="0" w:color="auto"/>
            <w:right w:val="none" w:sz="0" w:space="0" w:color="auto"/>
          </w:divBdr>
        </w:div>
        <w:div w:id="637272261">
          <w:marLeft w:val="1166"/>
          <w:marRight w:val="0"/>
          <w:marTop w:val="91"/>
          <w:marBottom w:val="0"/>
          <w:divBdr>
            <w:top w:val="none" w:sz="0" w:space="0" w:color="auto"/>
            <w:left w:val="none" w:sz="0" w:space="0" w:color="auto"/>
            <w:bottom w:val="none" w:sz="0" w:space="0" w:color="auto"/>
            <w:right w:val="none" w:sz="0" w:space="0" w:color="auto"/>
          </w:divBdr>
        </w:div>
        <w:div w:id="2093772858">
          <w:marLeft w:val="1800"/>
          <w:marRight w:val="0"/>
          <w:marTop w:val="72"/>
          <w:marBottom w:val="0"/>
          <w:divBdr>
            <w:top w:val="none" w:sz="0" w:space="0" w:color="auto"/>
            <w:left w:val="none" w:sz="0" w:space="0" w:color="auto"/>
            <w:bottom w:val="none" w:sz="0" w:space="0" w:color="auto"/>
            <w:right w:val="none" w:sz="0" w:space="0" w:color="auto"/>
          </w:divBdr>
        </w:div>
        <w:div w:id="2133665327">
          <w:marLeft w:val="1800"/>
          <w:marRight w:val="0"/>
          <w:marTop w:val="72"/>
          <w:marBottom w:val="0"/>
          <w:divBdr>
            <w:top w:val="none" w:sz="0" w:space="0" w:color="auto"/>
            <w:left w:val="none" w:sz="0" w:space="0" w:color="auto"/>
            <w:bottom w:val="none" w:sz="0" w:space="0" w:color="auto"/>
            <w:right w:val="none" w:sz="0" w:space="0" w:color="auto"/>
          </w:divBdr>
        </w:div>
        <w:div w:id="976764295">
          <w:marLeft w:val="1800"/>
          <w:marRight w:val="0"/>
          <w:marTop w:val="72"/>
          <w:marBottom w:val="0"/>
          <w:divBdr>
            <w:top w:val="none" w:sz="0" w:space="0" w:color="auto"/>
            <w:left w:val="none" w:sz="0" w:space="0" w:color="auto"/>
            <w:bottom w:val="none" w:sz="0" w:space="0" w:color="auto"/>
            <w:right w:val="none" w:sz="0" w:space="0" w:color="auto"/>
          </w:divBdr>
        </w:div>
        <w:div w:id="756099339">
          <w:marLeft w:val="1800"/>
          <w:marRight w:val="0"/>
          <w:marTop w:val="72"/>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951397620">
      <w:bodyDiv w:val="1"/>
      <w:marLeft w:val="0"/>
      <w:marRight w:val="0"/>
      <w:marTop w:val="0"/>
      <w:marBottom w:val="0"/>
      <w:divBdr>
        <w:top w:val="none" w:sz="0" w:space="0" w:color="auto"/>
        <w:left w:val="none" w:sz="0" w:space="0" w:color="auto"/>
        <w:bottom w:val="none" w:sz="0" w:space="0" w:color="auto"/>
        <w:right w:val="none" w:sz="0" w:space="0" w:color="auto"/>
      </w:divBdr>
      <w:divsChild>
        <w:div w:id="1533111459">
          <w:marLeft w:val="547"/>
          <w:marRight w:val="0"/>
          <w:marTop w:val="106"/>
          <w:marBottom w:val="0"/>
          <w:divBdr>
            <w:top w:val="none" w:sz="0" w:space="0" w:color="auto"/>
            <w:left w:val="none" w:sz="0" w:space="0" w:color="auto"/>
            <w:bottom w:val="none" w:sz="0" w:space="0" w:color="auto"/>
            <w:right w:val="none" w:sz="0" w:space="0" w:color="auto"/>
          </w:divBdr>
        </w:div>
        <w:div w:id="810174988">
          <w:marLeft w:val="1166"/>
          <w:marRight w:val="0"/>
          <w:marTop w:val="91"/>
          <w:marBottom w:val="0"/>
          <w:divBdr>
            <w:top w:val="none" w:sz="0" w:space="0" w:color="auto"/>
            <w:left w:val="none" w:sz="0" w:space="0" w:color="auto"/>
            <w:bottom w:val="none" w:sz="0" w:space="0" w:color="auto"/>
            <w:right w:val="none" w:sz="0" w:space="0" w:color="auto"/>
          </w:divBdr>
        </w:div>
        <w:div w:id="281886370">
          <w:marLeft w:val="547"/>
          <w:marRight w:val="0"/>
          <w:marTop w:val="106"/>
          <w:marBottom w:val="0"/>
          <w:divBdr>
            <w:top w:val="none" w:sz="0" w:space="0" w:color="auto"/>
            <w:left w:val="none" w:sz="0" w:space="0" w:color="auto"/>
            <w:bottom w:val="none" w:sz="0" w:space="0" w:color="auto"/>
            <w:right w:val="none" w:sz="0" w:space="0" w:color="auto"/>
          </w:divBdr>
        </w:div>
        <w:div w:id="1362705491">
          <w:marLeft w:val="1166"/>
          <w:marRight w:val="0"/>
          <w:marTop w:val="91"/>
          <w:marBottom w:val="0"/>
          <w:divBdr>
            <w:top w:val="none" w:sz="0" w:space="0" w:color="auto"/>
            <w:left w:val="none" w:sz="0" w:space="0" w:color="auto"/>
            <w:bottom w:val="none" w:sz="0" w:space="0" w:color="auto"/>
            <w:right w:val="none" w:sz="0" w:space="0" w:color="auto"/>
          </w:divBdr>
        </w:div>
        <w:div w:id="1912888913">
          <w:marLeft w:val="547"/>
          <w:marRight w:val="0"/>
          <w:marTop w:val="106"/>
          <w:marBottom w:val="0"/>
          <w:divBdr>
            <w:top w:val="none" w:sz="0" w:space="0" w:color="auto"/>
            <w:left w:val="none" w:sz="0" w:space="0" w:color="auto"/>
            <w:bottom w:val="none" w:sz="0" w:space="0" w:color="auto"/>
            <w:right w:val="none" w:sz="0" w:space="0" w:color="auto"/>
          </w:divBdr>
        </w:div>
        <w:div w:id="1331063871">
          <w:marLeft w:val="1166"/>
          <w:marRight w:val="0"/>
          <w:marTop w:val="91"/>
          <w:marBottom w:val="0"/>
          <w:divBdr>
            <w:top w:val="none" w:sz="0" w:space="0" w:color="auto"/>
            <w:left w:val="none" w:sz="0" w:space="0" w:color="auto"/>
            <w:bottom w:val="none" w:sz="0" w:space="0" w:color="auto"/>
            <w:right w:val="none" w:sz="0" w:space="0" w:color="auto"/>
          </w:divBdr>
        </w:div>
        <w:div w:id="1670479459">
          <w:marLeft w:val="547"/>
          <w:marRight w:val="0"/>
          <w:marTop w:val="106"/>
          <w:marBottom w:val="0"/>
          <w:divBdr>
            <w:top w:val="none" w:sz="0" w:space="0" w:color="auto"/>
            <w:left w:val="none" w:sz="0" w:space="0" w:color="auto"/>
            <w:bottom w:val="none" w:sz="0" w:space="0" w:color="auto"/>
            <w:right w:val="none" w:sz="0" w:space="0" w:color="auto"/>
          </w:divBdr>
        </w:div>
        <w:div w:id="388194781">
          <w:marLeft w:val="1166"/>
          <w:marRight w:val="0"/>
          <w:marTop w:val="91"/>
          <w:marBottom w:val="0"/>
          <w:divBdr>
            <w:top w:val="none" w:sz="0" w:space="0" w:color="auto"/>
            <w:left w:val="none" w:sz="0" w:space="0" w:color="auto"/>
            <w:bottom w:val="none" w:sz="0" w:space="0" w:color="auto"/>
            <w:right w:val="none" w:sz="0" w:space="0" w:color="auto"/>
          </w:divBdr>
        </w:div>
        <w:div w:id="1727988439">
          <w:marLeft w:val="547"/>
          <w:marRight w:val="0"/>
          <w:marTop w:val="144"/>
          <w:marBottom w:val="0"/>
          <w:divBdr>
            <w:top w:val="none" w:sz="0" w:space="0" w:color="auto"/>
            <w:left w:val="none" w:sz="0" w:space="0" w:color="auto"/>
            <w:bottom w:val="none" w:sz="0" w:space="0" w:color="auto"/>
            <w:right w:val="none" w:sz="0" w:space="0" w:color="auto"/>
          </w:divBdr>
        </w:div>
        <w:div w:id="74018528">
          <w:marLeft w:val="1166"/>
          <w:marRight w:val="0"/>
          <w:marTop w:val="110"/>
          <w:marBottom w:val="0"/>
          <w:divBdr>
            <w:top w:val="none" w:sz="0" w:space="0" w:color="auto"/>
            <w:left w:val="none" w:sz="0" w:space="0" w:color="auto"/>
            <w:bottom w:val="none" w:sz="0" w:space="0" w:color="auto"/>
            <w:right w:val="none" w:sz="0" w:space="0" w:color="auto"/>
          </w:divBdr>
        </w:div>
      </w:divsChild>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33202562">
      <w:bodyDiv w:val="1"/>
      <w:marLeft w:val="0"/>
      <w:marRight w:val="0"/>
      <w:marTop w:val="0"/>
      <w:marBottom w:val="0"/>
      <w:divBdr>
        <w:top w:val="none" w:sz="0" w:space="0" w:color="auto"/>
        <w:left w:val="none" w:sz="0" w:space="0" w:color="auto"/>
        <w:bottom w:val="none" w:sz="0" w:space="0" w:color="auto"/>
        <w:right w:val="none" w:sz="0" w:space="0" w:color="auto"/>
      </w:divBdr>
      <w:divsChild>
        <w:div w:id="1110734666">
          <w:marLeft w:val="1166"/>
          <w:marRight w:val="0"/>
          <w:marTop w:val="96"/>
          <w:marBottom w:val="0"/>
          <w:divBdr>
            <w:top w:val="none" w:sz="0" w:space="0" w:color="auto"/>
            <w:left w:val="none" w:sz="0" w:space="0" w:color="auto"/>
            <w:bottom w:val="none" w:sz="0" w:space="0" w:color="auto"/>
            <w:right w:val="none" w:sz="0" w:space="0" w:color="auto"/>
          </w:divBdr>
        </w:div>
        <w:div w:id="765198985">
          <w:marLeft w:val="1800"/>
          <w:marRight w:val="0"/>
          <w:marTop w:val="77"/>
          <w:marBottom w:val="0"/>
          <w:divBdr>
            <w:top w:val="none" w:sz="0" w:space="0" w:color="auto"/>
            <w:left w:val="none" w:sz="0" w:space="0" w:color="auto"/>
            <w:bottom w:val="none" w:sz="0" w:space="0" w:color="auto"/>
            <w:right w:val="none" w:sz="0" w:space="0" w:color="auto"/>
          </w:divBdr>
        </w:div>
        <w:div w:id="1148747612">
          <w:marLeft w:val="1800"/>
          <w:marRight w:val="0"/>
          <w:marTop w:val="77"/>
          <w:marBottom w:val="0"/>
          <w:divBdr>
            <w:top w:val="none" w:sz="0" w:space="0" w:color="auto"/>
            <w:left w:val="none" w:sz="0" w:space="0" w:color="auto"/>
            <w:bottom w:val="none" w:sz="0" w:space="0" w:color="auto"/>
            <w:right w:val="none" w:sz="0" w:space="0" w:color="auto"/>
          </w:divBdr>
        </w:div>
        <w:div w:id="1536115606">
          <w:marLeft w:val="1800"/>
          <w:marRight w:val="0"/>
          <w:marTop w:val="77"/>
          <w:marBottom w:val="0"/>
          <w:divBdr>
            <w:top w:val="none" w:sz="0" w:space="0" w:color="auto"/>
            <w:left w:val="none" w:sz="0" w:space="0" w:color="auto"/>
            <w:bottom w:val="none" w:sz="0" w:space="0" w:color="auto"/>
            <w:right w:val="none" w:sz="0" w:space="0" w:color="auto"/>
          </w:divBdr>
        </w:div>
        <w:div w:id="421880304">
          <w:marLeft w:val="1800"/>
          <w:marRight w:val="0"/>
          <w:marTop w:val="77"/>
          <w:marBottom w:val="0"/>
          <w:divBdr>
            <w:top w:val="none" w:sz="0" w:space="0" w:color="auto"/>
            <w:left w:val="none" w:sz="0" w:space="0" w:color="auto"/>
            <w:bottom w:val="none" w:sz="0" w:space="0" w:color="auto"/>
            <w:right w:val="none" w:sz="0" w:space="0" w:color="auto"/>
          </w:divBdr>
        </w:div>
        <w:div w:id="1465542718">
          <w:marLeft w:val="1800"/>
          <w:marRight w:val="0"/>
          <w:marTop w:val="77"/>
          <w:marBottom w:val="0"/>
          <w:divBdr>
            <w:top w:val="none" w:sz="0" w:space="0" w:color="auto"/>
            <w:left w:val="none" w:sz="0" w:space="0" w:color="auto"/>
            <w:bottom w:val="none" w:sz="0" w:space="0" w:color="auto"/>
            <w:right w:val="none" w:sz="0" w:space="0" w:color="auto"/>
          </w:divBdr>
        </w:div>
      </w:divsChild>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280915318">
      <w:bodyDiv w:val="1"/>
      <w:marLeft w:val="0"/>
      <w:marRight w:val="0"/>
      <w:marTop w:val="0"/>
      <w:marBottom w:val="0"/>
      <w:divBdr>
        <w:top w:val="none" w:sz="0" w:space="0" w:color="auto"/>
        <w:left w:val="none" w:sz="0" w:space="0" w:color="auto"/>
        <w:bottom w:val="none" w:sz="0" w:space="0" w:color="auto"/>
        <w:right w:val="none" w:sz="0" w:space="0" w:color="auto"/>
      </w:divBdr>
      <w:divsChild>
        <w:div w:id="1039165114">
          <w:marLeft w:val="1166"/>
          <w:marRight w:val="0"/>
          <w:marTop w:val="106"/>
          <w:marBottom w:val="0"/>
          <w:divBdr>
            <w:top w:val="none" w:sz="0" w:space="0" w:color="auto"/>
            <w:left w:val="none" w:sz="0" w:space="0" w:color="auto"/>
            <w:bottom w:val="none" w:sz="0" w:space="0" w:color="auto"/>
            <w:right w:val="none" w:sz="0" w:space="0" w:color="auto"/>
          </w:divBdr>
        </w:div>
        <w:div w:id="430668978">
          <w:marLeft w:val="1800"/>
          <w:marRight w:val="0"/>
          <w:marTop w:val="91"/>
          <w:marBottom w:val="0"/>
          <w:divBdr>
            <w:top w:val="none" w:sz="0" w:space="0" w:color="auto"/>
            <w:left w:val="none" w:sz="0" w:space="0" w:color="auto"/>
            <w:bottom w:val="none" w:sz="0" w:space="0" w:color="auto"/>
            <w:right w:val="none" w:sz="0" w:space="0" w:color="auto"/>
          </w:divBdr>
        </w:div>
        <w:div w:id="1880431379">
          <w:marLeft w:val="1800"/>
          <w:marRight w:val="0"/>
          <w:marTop w:val="91"/>
          <w:marBottom w:val="0"/>
          <w:divBdr>
            <w:top w:val="none" w:sz="0" w:space="0" w:color="auto"/>
            <w:left w:val="none" w:sz="0" w:space="0" w:color="auto"/>
            <w:bottom w:val="none" w:sz="0" w:space="0" w:color="auto"/>
            <w:right w:val="none" w:sz="0" w:space="0" w:color="auto"/>
          </w:divBdr>
        </w:div>
        <w:div w:id="1152336689">
          <w:marLeft w:val="1166"/>
          <w:marRight w:val="0"/>
          <w:marTop w:val="106"/>
          <w:marBottom w:val="0"/>
          <w:divBdr>
            <w:top w:val="none" w:sz="0" w:space="0" w:color="auto"/>
            <w:left w:val="none" w:sz="0" w:space="0" w:color="auto"/>
            <w:bottom w:val="none" w:sz="0" w:space="0" w:color="auto"/>
            <w:right w:val="none" w:sz="0" w:space="0" w:color="auto"/>
          </w:divBdr>
        </w:div>
        <w:div w:id="1370913461">
          <w:marLeft w:val="1800"/>
          <w:marRight w:val="0"/>
          <w:marTop w:val="91"/>
          <w:marBottom w:val="0"/>
          <w:divBdr>
            <w:top w:val="none" w:sz="0" w:space="0" w:color="auto"/>
            <w:left w:val="none" w:sz="0" w:space="0" w:color="auto"/>
            <w:bottom w:val="none" w:sz="0" w:space="0" w:color="auto"/>
            <w:right w:val="none" w:sz="0" w:space="0" w:color="auto"/>
          </w:divBdr>
        </w:div>
        <w:div w:id="368721062">
          <w:marLeft w:val="1800"/>
          <w:marRight w:val="0"/>
          <w:marTop w:val="91"/>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385331885">
      <w:bodyDiv w:val="1"/>
      <w:marLeft w:val="0"/>
      <w:marRight w:val="0"/>
      <w:marTop w:val="0"/>
      <w:marBottom w:val="0"/>
      <w:divBdr>
        <w:top w:val="none" w:sz="0" w:space="0" w:color="auto"/>
        <w:left w:val="none" w:sz="0" w:space="0" w:color="auto"/>
        <w:bottom w:val="none" w:sz="0" w:space="0" w:color="auto"/>
        <w:right w:val="none" w:sz="0" w:space="0" w:color="auto"/>
      </w:divBdr>
      <w:divsChild>
        <w:div w:id="1790470294">
          <w:marLeft w:val="1166"/>
          <w:marRight w:val="0"/>
          <w:marTop w:val="96"/>
          <w:marBottom w:val="0"/>
          <w:divBdr>
            <w:top w:val="none" w:sz="0" w:space="0" w:color="auto"/>
            <w:left w:val="none" w:sz="0" w:space="0" w:color="auto"/>
            <w:bottom w:val="none" w:sz="0" w:space="0" w:color="auto"/>
            <w:right w:val="none" w:sz="0" w:space="0" w:color="auto"/>
          </w:divBdr>
        </w:div>
        <w:div w:id="1270510765">
          <w:marLeft w:val="1800"/>
          <w:marRight w:val="0"/>
          <w:marTop w:val="77"/>
          <w:marBottom w:val="0"/>
          <w:divBdr>
            <w:top w:val="none" w:sz="0" w:space="0" w:color="auto"/>
            <w:left w:val="none" w:sz="0" w:space="0" w:color="auto"/>
            <w:bottom w:val="none" w:sz="0" w:space="0" w:color="auto"/>
            <w:right w:val="none" w:sz="0" w:space="0" w:color="auto"/>
          </w:divBdr>
        </w:div>
        <w:div w:id="1739984420">
          <w:marLeft w:val="1800"/>
          <w:marRight w:val="0"/>
          <w:marTop w:val="77"/>
          <w:marBottom w:val="0"/>
          <w:divBdr>
            <w:top w:val="none" w:sz="0" w:space="0" w:color="auto"/>
            <w:left w:val="none" w:sz="0" w:space="0" w:color="auto"/>
            <w:bottom w:val="none" w:sz="0" w:space="0" w:color="auto"/>
            <w:right w:val="none" w:sz="0" w:space="0" w:color="auto"/>
          </w:divBdr>
        </w:div>
        <w:div w:id="1420717970">
          <w:marLeft w:val="1800"/>
          <w:marRight w:val="0"/>
          <w:marTop w:val="77"/>
          <w:marBottom w:val="0"/>
          <w:divBdr>
            <w:top w:val="none" w:sz="0" w:space="0" w:color="auto"/>
            <w:left w:val="none" w:sz="0" w:space="0" w:color="auto"/>
            <w:bottom w:val="none" w:sz="0" w:space="0" w:color="auto"/>
            <w:right w:val="none" w:sz="0" w:space="0" w:color="auto"/>
          </w:divBdr>
        </w:div>
        <w:div w:id="1005328845">
          <w:marLeft w:val="1800"/>
          <w:marRight w:val="0"/>
          <w:marTop w:val="77"/>
          <w:marBottom w:val="0"/>
          <w:divBdr>
            <w:top w:val="none" w:sz="0" w:space="0" w:color="auto"/>
            <w:left w:val="none" w:sz="0" w:space="0" w:color="auto"/>
            <w:bottom w:val="none" w:sz="0" w:space="0" w:color="auto"/>
            <w:right w:val="none" w:sz="0" w:space="0" w:color="auto"/>
          </w:divBdr>
        </w:div>
        <w:div w:id="279533048">
          <w:marLeft w:val="2520"/>
          <w:marRight w:val="0"/>
          <w:marTop w:val="58"/>
          <w:marBottom w:val="0"/>
          <w:divBdr>
            <w:top w:val="none" w:sz="0" w:space="0" w:color="auto"/>
            <w:left w:val="none" w:sz="0" w:space="0" w:color="auto"/>
            <w:bottom w:val="none" w:sz="0" w:space="0" w:color="auto"/>
            <w:right w:val="none" w:sz="0" w:space="0" w:color="auto"/>
          </w:divBdr>
        </w:div>
        <w:div w:id="1077551782">
          <w:marLeft w:val="2520"/>
          <w:marRight w:val="0"/>
          <w:marTop w:val="58"/>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09691760">
      <w:bodyDiv w:val="1"/>
      <w:marLeft w:val="0"/>
      <w:marRight w:val="0"/>
      <w:marTop w:val="0"/>
      <w:marBottom w:val="0"/>
      <w:divBdr>
        <w:top w:val="none" w:sz="0" w:space="0" w:color="auto"/>
        <w:left w:val="none" w:sz="0" w:space="0" w:color="auto"/>
        <w:bottom w:val="none" w:sz="0" w:space="0" w:color="auto"/>
        <w:right w:val="none" w:sz="0" w:space="0" w:color="auto"/>
      </w:divBdr>
      <w:divsChild>
        <w:div w:id="365836685">
          <w:marLeft w:val="547"/>
          <w:marRight w:val="0"/>
          <w:marTop w:val="106"/>
          <w:marBottom w:val="0"/>
          <w:divBdr>
            <w:top w:val="none" w:sz="0" w:space="0" w:color="auto"/>
            <w:left w:val="none" w:sz="0" w:space="0" w:color="auto"/>
            <w:bottom w:val="none" w:sz="0" w:space="0" w:color="auto"/>
            <w:right w:val="none" w:sz="0" w:space="0" w:color="auto"/>
          </w:divBdr>
        </w:div>
        <w:div w:id="1863396926">
          <w:marLeft w:val="1166"/>
          <w:marRight w:val="0"/>
          <w:marTop w:val="91"/>
          <w:marBottom w:val="0"/>
          <w:divBdr>
            <w:top w:val="none" w:sz="0" w:space="0" w:color="auto"/>
            <w:left w:val="none" w:sz="0" w:space="0" w:color="auto"/>
            <w:bottom w:val="none" w:sz="0" w:space="0" w:color="auto"/>
            <w:right w:val="none" w:sz="0" w:space="0" w:color="auto"/>
          </w:divBdr>
        </w:div>
        <w:div w:id="1330673938">
          <w:marLeft w:val="547"/>
          <w:marRight w:val="0"/>
          <w:marTop w:val="106"/>
          <w:marBottom w:val="0"/>
          <w:divBdr>
            <w:top w:val="none" w:sz="0" w:space="0" w:color="auto"/>
            <w:left w:val="none" w:sz="0" w:space="0" w:color="auto"/>
            <w:bottom w:val="none" w:sz="0" w:space="0" w:color="auto"/>
            <w:right w:val="none" w:sz="0" w:space="0" w:color="auto"/>
          </w:divBdr>
        </w:div>
        <w:div w:id="813911199">
          <w:marLeft w:val="1166"/>
          <w:marRight w:val="0"/>
          <w:marTop w:val="91"/>
          <w:marBottom w:val="0"/>
          <w:divBdr>
            <w:top w:val="none" w:sz="0" w:space="0" w:color="auto"/>
            <w:left w:val="none" w:sz="0" w:space="0" w:color="auto"/>
            <w:bottom w:val="none" w:sz="0" w:space="0" w:color="auto"/>
            <w:right w:val="none" w:sz="0" w:space="0" w:color="auto"/>
          </w:divBdr>
        </w:div>
        <w:div w:id="110243144">
          <w:marLeft w:val="547"/>
          <w:marRight w:val="0"/>
          <w:marTop w:val="106"/>
          <w:marBottom w:val="0"/>
          <w:divBdr>
            <w:top w:val="none" w:sz="0" w:space="0" w:color="auto"/>
            <w:left w:val="none" w:sz="0" w:space="0" w:color="auto"/>
            <w:bottom w:val="none" w:sz="0" w:space="0" w:color="auto"/>
            <w:right w:val="none" w:sz="0" w:space="0" w:color="auto"/>
          </w:divBdr>
        </w:div>
        <w:div w:id="458182319">
          <w:marLeft w:val="1166"/>
          <w:marRight w:val="0"/>
          <w:marTop w:val="91"/>
          <w:marBottom w:val="0"/>
          <w:divBdr>
            <w:top w:val="none" w:sz="0" w:space="0" w:color="auto"/>
            <w:left w:val="none" w:sz="0" w:space="0" w:color="auto"/>
            <w:bottom w:val="none" w:sz="0" w:space="0" w:color="auto"/>
            <w:right w:val="none" w:sz="0" w:space="0" w:color="auto"/>
          </w:divBdr>
        </w:div>
        <w:div w:id="1204751989">
          <w:marLeft w:val="547"/>
          <w:marRight w:val="0"/>
          <w:marTop w:val="106"/>
          <w:marBottom w:val="0"/>
          <w:divBdr>
            <w:top w:val="none" w:sz="0" w:space="0" w:color="auto"/>
            <w:left w:val="none" w:sz="0" w:space="0" w:color="auto"/>
            <w:bottom w:val="none" w:sz="0" w:space="0" w:color="auto"/>
            <w:right w:val="none" w:sz="0" w:space="0" w:color="auto"/>
          </w:divBdr>
        </w:div>
        <w:div w:id="1426269252">
          <w:marLeft w:val="1166"/>
          <w:marRight w:val="0"/>
          <w:marTop w:val="91"/>
          <w:marBottom w:val="0"/>
          <w:divBdr>
            <w:top w:val="none" w:sz="0" w:space="0" w:color="auto"/>
            <w:left w:val="none" w:sz="0" w:space="0" w:color="auto"/>
            <w:bottom w:val="none" w:sz="0" w:space="0" w:color="auto"/>
            <w:right w:val="none" w:sz="0" w:space="0" w:color="auto"/>
          </w:divBdr>
        </w:div>
        <w:div w:id="902984895">
          <w:marLeft w:val="547"/>
          <w:marRight w:val="0"/>
          <w:marTop w:val="144"/>
          <w:marBottom w:val="0"/>
          <w:divBdr>
            <w:top w:val="none" w:sz="0" w:space="0" w:color="auto"/>
            <w:left w:val="none" w:sz="0" w:space="0" w:color="auto"/>
            <w:bottom w:val="none" w:sz="0" w:space="0" w:color="auto"/>
            <w:right w:val="none" w:sz="0" w:space="0" w:color="auto"/>
          </w:divBdr>
        </w:div>
        <w:div w:id="613639204">
          <w:marLeft w:val="1166"/>
          <w:marRight w:val="0"/>
          <w:marTop w:val="110"/>
          <w:marBottom w:val="0"/>
          <w:divBdr>
            <w:top w:val="none" w:sz="0" w:space="0" w:color="auto"/>
            <w:left w:val="none" w:sz="0" w:space="0" w:color="auto"/>
            <w:bottom w:val="none" w:sz="0" w:space="0" w:color="auto"/>
            <w:right w:val="none" w:sz="0" w:space="0" w:color="auto"/>
          </w:divBdr>
        </w:div>
      </w:divsChild>
    </w:div>
    <w:div w:id="1434790036">
      <w:bodyDiv w:val="1"/>
      <w:marLeft w:val="0"/>
      <w:marRight w:val="0"/>
      <w:marTop w:val="0"/>
      <w:marBottom w:val="0"/>
      <w:divBdr>
        <w:top w:val="none" w:sz="0" w:space="0" w:color="auto"/>
        <w:left w:val="none" w:sz="0" w:space="0" w:color="auto"/>
        <w:bottom w:val="none" w:sz="0" w:space="0" w:color="auto"/>
        <w:right w:val="none" w:sz="0" w:space="0" w:color="auto"/>
      </w:divBdr>
      <w:divsChild>
        <w:div w:id="187914213">
          <w:marLeft w:val="547"/>
          <w:marRight w:val="0"/>
          <w:marTop w:val="154"/>
          <w:marBottom w:val="0"/>
          <w:divBdr>
            <w:top w:val="none" w:sz="0" w:space="0" w:color="auto"/>
            <w:left w:val="none" w:sz="0" w:space="0" w:color="auto"/>
            <w:bottom w:val="none" w:sz="0" w:space="0" w:color="auto"/>
            <w:right w:val="none" w:sz="0" w:space="0" w:color="auto"/>
          </w:divBdr>
        </w:div>
        <w:div w:id="1633290559">
          <w:marLeft w:val="1166"/>
          <w:marRight w:val="0"/>
          <w:marTop w:val="115"/>
          <w:marBottom w:val="0"/>
          <w:divBdr>
            <w:top w:val="none" w:sz="0" w:space="0" w:color="auto"/>
            <w:left w:val="none" w:sz="0" w:space="0" w:color="auto"/>
            <w:bottom w:val="none" w:sz="0" w:space="0" w:color="auto"/>
            <w:right w:val="none" w:sz="0" w:space="0" w:color="auto"/>
          </w:divBdr>
        </w:div>
        <w:div w:id="1456021610">
          <w:marLeft w:val="1800"/>
          <w:marRight w:val="0"/>
          <w:marTop w:val="96"/>
          <w:marBottom w:val="0"/>
          <w:divBdr>
            <w:top w:val="none" w:sz="0" w:space="0" w:color="auto"/>
            <w:left w:val="none" w:sz="0" w:space="0" w:color="auto"/>
            <w:bottom w:val="none" w:sz="0" w:space="0" w:color="auto"/>
            <w:right w:val="none" w:sz="0" w:space="0" w:color="auto"/>
          </w:divBdr>
        </w:div>
        <w:div w:id="1797484906">
          <w:marLeft w:val="2520"/>
          <w:marRight w:val="0"/>
          <w:marTop w:val="77"/>
          <w:marBottom w:val="0"/>
          <w:divBdr>
            <w:top w:val="none" w:sz="0" w:space="0" w:color="auto"/>
            <w:left w:val="none" w:sz="0" w:space="0" w:color="auto"/>
            <w:bottom w:val="none" w:sz="0" w:space="0" w:color="auto"/>
            <w:right w:val="none" w:sz="0" w:space="0" w:color="auto"/>
          </w:divBdr>
        </w:div>
        <w:div w:id="1846623804">
          <w:marLeft w:val="2520"/>
          <w:marRight w:val="0"/>
          <w:marTop w:val="77"/>
          <w:marBottom w:val="0"/>
          <w:divBdr>
            <w:top w:val="none" w:sz="0" w:space="0" w:color="auto"/>
            <w:left w:val="none" w:sz="0" w:space="0" w:color="auto"/>
            <w:bottom w:val="none" w:sz="0" w:space="0" w:color="auto"/>
            <w:right w:val="none" w:sz="0" w:space="0" w:color="auto"/>
          </w:divBdr>
        </w:div>
        <w:div w:id="288780082">
          <w:marLeft w:val="2520"/>
          <w:marRight w:val="0"/>
          <w:marTop w:val="77"/>
          <w:marBottom w:val="0"/>
          <w:divBdr>
            <w:top w:val="none" w:sz="0" w:space="0" w:color="auto"/>
            <w:left w:val="none" w:sz="0" w:space="0" w:color="auto"/>
            <w:bottom w:val="none" w:sz="0" w:space="0" w:color="auto"/>
            <w:right w:val="none" w:sz="0" w:space="0" w:color="auto"/>
          </w:divBdr>
        </w:div>
        <w:div w:id="1120294355">
          <w:marLeft w:val="2520"/>
          <w:marRight w:val="0"/>
          <w:marTop w:val="77"/>
          <w:marBottom w:val="0"/>
          <w:divBdr>
            <w:top w:val="none" w:sz="0" w:space="0" w:color="auto"/>
            <w:left w:val="none" w:sz="0" w:space="0" w:color="auto"/>
            <w:bottom w:val="none" w:sz="0" w:space="0" w:color="auto"/>
            <w:right w:val="none" w:sz="0" w:space="0" w:color="auto"/>
          </w:divBdr>
        </w:div>
        <w:div w:id="959921978">
          <w:marLeft w:val="1800"/>
          <w:marRight w:val="0"/>
          <w:marTop w:val="96"/>
          <w:marBottom w:val="0"/>
          <w:divBdr>
            <w:top w:val="none" w:sz="0" w:space="0" w:color="auto"/>
            <w:left w:val="none" w:sz="0" w:space="0" w:color="auto"/>
            <w:bottom w:val="none" w:sz="0" w:space="0" w:color="auto"/>
            <w:right w:val="none" w:sz="0" w:space="0" w:color="auto"/>
          </w:divBdr>
        </w:div>
        <w:div w:id="2127574969">
          <w:marLeft w:val="1800"/>
          <w:marRight w:val="0"/>
          <w:marTop w:val="96"/>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0141616">
      <w:bodyDiv w:val="1"/>
      <w:marLeft w:val="0"/>
      <w:marRight w:val="0"/>
      <w:marTop w:val="0"/>
      <w:marBottom w:val="0"/>
      <w:divBdr>
        <w:top w:val="none" w:sz="0" w:space="0" w:color="auto"/>
        <w:left w:val="none" w:sz="0" w:space="0" w:color="auto"/>
        <w:bottom w:val="none" w:sz="0" w:space="0" w:color="auto"/>
        <w:right w:val="none" w:sz="0" w:space="0" w:color="auto"/>
      </w:divBdr>
      <w:divsChild>
        <w:div w:id="4986627">
          <w:marLeft w:val="360"/>
          <w:marRight w:val="0"/>
          <w:marTop w:val="200"/>
          <w:marBottom w:val="0"/>
          <w:divBdr>
            <w:top w:val="none" w:sz="0" w:space="0" w:color="auto"/>
            <w:left w:val="none" w:sz="0" w:space="0" w:color="auto"/>
            <w:bottom w:val="none" w:sz="0" w:space="0" w:color="auto"/>
            <w:right w:val="none" w:sz="0" w:space="0" w:color="auto"/>
          </w:divBdr>
        </w:div>
      </w:divsChild>
    </w:div>
    <w:div w:id="1536968043">
      <w:bodyDiv w:val="1"/>
      <w:marLeft w:val="0"/>
      <w:marRight w:val="0"/>
      <w:marTop w:val="0"/>
      <w:marBottom w:val="0"/>
      <w:divBdr>
        <w:top w:val="none" w:sz="0" w:space="0" w:color="auto"/>
        <w:left w:val="none" w:sz="0" w:space="0" w:color="auto"/>
        <w:bottom w:val="none" w:sz="0" w:space="0" w:color="auto"/>
        <w:right w:val="none" w:sz="0" w:space="0" w:color="auto"/>
      </w:divBdr>
      <w:divsChild>
        <w:div w:id="588277680">
          <w:marLeft w:val="1166"/>
          <w:marRight w:val="0"/>
          <w:marTop w:val="96"/>
          <w:marBottom w:val="0"/>
          <w:divBdr>
            <w:top w:val="none" w:sz="0" w:space="0" w:color="auto"/>
            <w:left w:val="none" w:sz="0" w:space="0" w:color="auto"/>
            <w:bottom w:val="none" w:sz="0" w:space="0" w:color="auto"/>
            <w:right w:val="none" w:sz="0" w:space="0" w:color="auto"/>
          </w:divBdr>
        </w:div>
        <w:div w:id="1968119756">
          <w:marLeft w:val="1166"/>
          <w:marRight w:val="0"/>
          <w:marTop w:val="96"/>
          <w:marBottom w:val="0"/>
          <w:divBdr>
            <w:top w:val="none" w:sz="0" w:space="0" w:color="auto"/>
            <w:left w:val="none" w:sz="0" w:space="0" w:color="auto"/>
            <w:bottom w:val="none" w:sz="0" w:space="0" w:color="auto"/>
            <w:right w:val="none" w:sz="0" w:space="0" w:color="auto"/>
          </w:divBdr>
        </w:div>
        <w:div w:id="1296595965">
          <w:marLeft w:val="1800"/>
          <w:marRight w:val="0"/>
          <w:marTop w:val="77"/>
          <w:marBottom w:val="0"/>
          <w:divBdr>
            <w:top w:val="none" w:sz="0" w:space="0" w:color="auto"/>
            <w:left w:val="none" w:sz="0" w:space="0" w:color="auto"/>
            <w:bottom w:val="none" w:sz="0" w:space="0" w:color="auto"/>
            <w:right w:val="none" w:sz="0" w:space="0" w:color="auto"/>
          </w:divBdr>
        </w:div>
        <w:div w:id="943152152">
          <w:marLeft w:val="1800"/>
          <w:marRight w:val="0"/>
          <w:marTop w:val="77"/>
          <w:marBottom w:val="0"/>
          <w:divBdr>
            <w:top w:val="none" w:sz="0" w:space="0" w:color="auto"/>
            <w:left w:val="none" w:sz="0" w:space="0" w:color="auto"/>
            <w:bottom w:val="none" w:sz="0" w:space="0" w:color="auto"/>
            <w:right w:val="none" w:sz="0" w:space="0" w:color="auto"/>
          </w:divBdr>
        </w:div>
        <w:div w:id="1526938808">
          <w:marLeft w:val="1166"/>
          <w:marRight w:val="0"/>
          <w:marTop w:val="96"/>
          <w:marBottom w:val="0"/>
          <w:divBdr>
            <w:top w:val="none" w:sz="0" w:space="0" w:color="auto"/>
            <w:left w:val="none" w:sz="0" w:space="0" w:color="auto"/>
            <w:bottom w:val="none" w:sz="0" w:space="0" w:color="auto"/>
            <w:right w:val="none" w:sz="0" w:space="0" w:color="auto"/>
          </w:divBdr>
        </w:div>
        <w:div w:id="459226591">
          <w:marLeft w:val="1800"/>
          <w:marRight w:val="0"/>
          <w:marTop w:val="77"/>
          <w:marBottom w:val="0"/>
          <w:divBdr>
            <w:top w:val="none" w:sz="0" w:space="0" w:color="auto"/>
            <w:left w:val="none" w:sz="0" w:space="0" w:color="auto"/>
            <w:bottom w:val="none" w:sz="0" w:space="0" w:color="auto"/>
            <w:right w:val="none" w:sz="0" w:space="0" w:color="auto"/>
          </w:divBdr>
        </w:div>
        <w:div w:id="893858382">
          <w:marLeft w:val="1800"/>
          <w:marRight w:val="0"/>
          <w:marTop w:val="77"/>
          <w:marBottom w:val="0"/>
          <w:divBdr>
            <w:top w:val="none" w:sz="0" w:space="0" w:color="auto"/>
            <w:left w:val="none" w:sz="0" w:space="0" w:color="auto"/>
            <w:bottom w:val="none" w:sz="0" w:space="0" w:color="auto"/>
            <w:right w:val="none" w:sz="0" w:space="0" w:color="auto"/>
          </w:divBdr>
        </w:div>
        <w:div w:id="2054841039">
          <w:marLeft w:val="1800"/>
          <w:marRight w:val="0"/>
          <w:marTop w:val="77"/>
          <w:marBottom w:val="0"/>
          <w:divBdr>
            <w:top w:val="none" w:sz="0" w:space="0" w:color="auto"/>
            <w:left w:val="none" w:sz="0" w:space="0" w:color="auto"/>
            <w:bottom w:val="none" w:sz="0" w:space="0" w:color="auto"/>
            <w:right w:val="none" w:sz="0" w:space="0" w:color="auto"/>
          </w:divBdr>
        </w:div>
        <w:div w:id="1482235291">
          <w:marLeft w:val="1800"/>
          <w:marRight w:val="0"/>
          <w:marTop w:val="77"/>
          <w:marBottom w:val="0"/>
          <w:divBdr>
            <w:top w:val="none" w:sz="0" w:space="0" w:color="auto"/>
            <w:left w:val="none" w:sz="0" w:space="0" w:color="auto"/>
            <w:bottom w:val="none" w:sz="0" w:space="0" w:color="auto"/>
            <w:right w:val="none" w:sz="0" w:space="0" w:color="auto"/>
          </w:divBdr>
        </w:div>
      </w:divsChild>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36704332">
      <w:bodyDiv w:val="1"/>
      <w:marLeft w:val="0"/>
      <w:marRight w:val="0"/>
      <w:marTop w:val="0"/>
      <w:marBottom w:val="0"/>
      <w:divBdr>
        <w:top w:val="none" w:sz="0" w:space="0" w:color="auto"/>
        <w:left w:val="none" w:sz="0" w:space="0" w:color="auto"/>
        <w:bottom w:val="none" w:sz="0" w:space="0" w:color="auto"/>
        <w:right w:val="none" w:sz="0" w:space="0" w:color="auto"/>
      </w:divBdr>
      <w:divsChild>
        <w:div w:id="571739377">
          <w:marLeft w:val="547"/>
          <w:marRight w:val="0"/>
          <w:marTop w:val="154"/>
          <w:marBottom w:val="0"/>
          <w:divBdr>
            <w:top w:val="none" w:sz="0" w:space="0" w:color="auto"/>
            <w:left w:val="none" w:sz="0" w:space="0" w:color="auto"/>
            <w:bottom w:val="none" w:sz="0" w:space="0" w:color="auto"/>
            <w:right w:val="none" w:sz="0" w:space="0" w:color="auto"/>
          </w:divBdr>
        </w:div>
        <w:div w:id="1037238380">
          <w:marLeft w:val="1166"/>
          <w:marRight w:val="0"/>
          <w:marTop w:val="115"/>
          <w:marBottom w:val="0"/>
          <w:divBdr>
            <w:top w:val="none" w:sz="0" w:space="0" w:color="auto"/>
            <w:left w:val="none" w:sz="0" w:space="0" w:color="auto"/>
            <w:bottom w:val="none" w:sz="0" w:space="0" w:color="auto"/>
            <w:right w:val="none" w:sz="0" w:space="0" w:color="auto"/>
          </w:divBdr>
        </w:div>
        <w:div w:id="341444359">
          <w:marLeft w:val="1800"/>
          <w:marRight w:val="0"/>
          <w:marTop w:val="96"/>
          <w:marBottom w:val="0"/>
          <w:divBdr>
            <w:top w:val="none" w:sz="0" w:space="0" w:color="auto"/>
            <w:left w:val="none" w:sz="0" w:space="0" w:color="auto"/>
            <w:bottom w:val="none" w:sz="0" w:space="0" w:color="auto"/>
            <w:right w:val="none" w:sz="0" w:space="0" w:color="auto"/>
          </w:divBdr>
        </w:div>
        <w:div w:id="1261797220">
          <w:marLeft w:val="1800"/>
          <w:marRight w:val="0"/>
          <w:marTop w:val="96"/>
          <w:marBottom w:val="0"/>
          <w:divBdr>
            <w:top w:val="none" w:sz="0" w:space="0" w:color="auto"/>
            <w:left w:val="none" w:sz="0" w:space="0" w:color="auto"/>
            <w:bottom w:val="none" w:sz="0" w:space="0" w:color="auto"/>
            <w:right w:val="none" w:sz="0" w:space="0" w:color="auto"/>
          </w:divBdr>
        </w:div>
        <w:div w:id="235019470">
          <w:marLeft w:val="1166"/>
          <w:marRight w:val="0"/>
          <w:marTop w:val="115"/>
          <w:marBottom w:val="0"/>
          <w:divBdr>
            <w:top w:val="none" w:sz="0" w:space="0" w:color="auto"/>
            <w:left w:val="none" w:sz="0" w:space="0" w:color="auto"/>
            <w:bottom w:val="none" w:sz="0" w:space="0" w:color="auto"/>
            <w:right w:val="none" w:sz="0" w:space="0" w:color="auto"/>
          </w:divBdr>
        </w:div>
        <w:div w:id="907376731">
          <w:marLeft w:val="1800"/>
          <w:marRight w:val="0"/>
          <w:marTop w:val="96"/>
          <w:marBottom w:val="0"/>
          <w:divBdr>
            <w:top w:val="none" w:sz="0" w:space="0" w:color="auto"/>
            <w:left w:val="none" w:sz="0" w:space="0" w:color="auto"/>
            <w:bottom w:val="none" w:sz="0" w:space="0" w:color="auto"/>
            <w:right w:val="none" w:sz="0" w:space="0" w:color="auto"/>
          </w:divBdr>
        </w:div>
        <w:div w:id="856772492">
          <w:marLeft w:val="1800"/>
          <w:marRight w:val="0"/>
          <w:marTop w:val="96"/>
          <w:marBottom w:val="0"/>
          <w:divBdr>
            <w:top w:val="none" w:sz="0" w:space="0" w:color="auto"/>
            <w:left w:val="none" w:sz="0" w:space="0" w:color="auto"/>
            <w:bottom w:val="none" w:sz="0" w:space="0" w:color="auto"/>
            <w:right w:val="none" w:sz="0" w:space="0" w:color="auto"/>
          </w:divBdr>
        </w:div>
        <w:div w:id="321859560">
          <w:marLeft w:val="1800"/>
          <w:marRight w:val="0"/>
          <w:marTop w:val="96"/>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875655210">
      <w:bodyDiv w:val="1"/>
      <w:marLeft w:val="0"/>
      <w:marRight w:val="0"/>
      <w:marTop w:val="0"/>
      <w:marBottom w:val="0"/>
      <w:divBdr>
        <w:top w:val="none" w:sz="0" w:space="0" w:color="auto"/>
        <w:left w:val="none" w:sz="0" w:space="0" w:color="auto"/>
        <w:bottom w:val="none" w:sz="0" w:space="0" w:color="auto"/>
        <w:right w:val="none" w:sz="0" w:space="0" w:color="auto"/>
      </w:divBdr>
      <w:divsChild>
        <w:div w:id="176115124">
          <w:marLeft w:val="547"/>
          <w:marRight w:val="0"/>
          <w:marTop w:val="115"/>
          <w:marBottom w:val="0"/>
          <w:divBdr>
            <w:top w:val="none" w:sz="0" w:space="0" w:color="auto"/>
            <w:left w:val="none" w:sz="0" w:space="0" w:color="auto"/>
            <w:bottom w:val="none" w:sz="0" w:space="0" w:color="auto"/>
            <w:right w:val="none" w:sz="0" w:space="0" w:color="auto"/>
          </w:divBdr>
        </w:div>
        <w:div w:id="498158161">
          <w:marLeft w:val="1166"/>
          <w:marRight w:val="0"/>
          <w:marTop w:val="96"/>
          <w:marBottom w:val="0"/>
          <w:divBdr>
            <w:top w:val="none" w:sz="0" w:space="0" w:color="auto"/>
            <w:left w:val="none" w:sz="0" w:space="0" w:color="auto"/>
            <w:bottom w:val="none" w:sz="0" w:space="0" w:color="auto"/>
            <w:right w:val="none" w:sz="0" w:space="0" w:color="auto"/>
          </w:divBdr>
        </w:div>
        <w:div w:id="1073702195">
          <w:marLeft w:val="1166"/>
          <w:marRight w:val="0"/>
          <w:marTop w:val="96"/>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43804223">
      <w:bodyDiv w:val="1"/>
      <w:marLeft w:val="0"/>
      <w:marRight w:val="0"/>
      <w:marTop w:val="0"/>
      <w:marBottom w:val="0"/>
      <w:divBdr>
        <w:top w:val="none" w:sz="0" w:space="0" w:color="auto"/>
        <w:left w:val="none" w:sz="0" w:space="0" w:color="auto"/>
        <w:bottom w:val="none" w:sz="0" w:space="0" w:color="auto"/>
        <w:right w:val="none" w:sz="0" w:space="0" w:color="auto"/>
      </w:divBdr>
      <w:divsChild>
        <w:div w:id="698972450">
          <w:marLeft w:val="1166"/>
          <w:marRight w:val="0"/>
          <w:marTop w:val="96"/>
          <w:marBottom w:val="0"/>
          <w:divBdr>
            <w:top w:val="none" w:sz="0" w:space="0" w:color="auto"/>
            <w:left w:val="none" w:sz="0" w:space="0" w:color="auto"/>
            <w:bottom w:val="none" w:sz="0" w:space="0" w:color="auto"/>
            <w:right w:val="none" w:sz="0" w:space="0" w:color="auto"/>
          </w:divBdr>
        </w:div>
        <w:div w:id="1002660590">
          <w:marLeft w:val="1800"/>
          <w:marRight w:val="0"/>
          <w:marTop w:val="77"/>
          <w:marBottom w:val="0"/>
          <w:divBdr>
            <w:top w:val="none" w:sz="0" w:space="0" w:color="auto"/>
            <w:left w:val="none" w:sz="0" w:space="0" w:color="auto"/>
            <w:bottom w:val="none" w:sz="0" w:space="0" w:color="auto"/>
            <w:right w:val="none" w:sz="0" w:space="0" w:color="auto"/>
          </w:divBdr>
        </w:div>
        <w:div w:id="1575354398">
          <w:marLeft w:val="1800"/>
          <w:marRight w:val="0"/>
          <w:marTop w:val="77"/>
          <w:marBottom w:val="0"/>
          <w:divBdr>
            <w:top w:val="none" w:sz="0" w:space="0" w:color="auto"/>
            <w:left w:val="none" w:sz="0" w:space="0" w:color="auto"/>
            <w:bottom w:val="none" w:sz="0" w:space="0" w:color="auto"/>
            <w:right w:val="none" w:sz="0" w:space="0" w:color="auto"/>
          </w:divBdr>
        </w:div>
        <w:div w:id="491604692">
          <w:marLeft w:val="1800"/>
          <w:marRight w:val="0"/>
          <w:marTop w:val="77"/>
          <w:marBottom w:val="0"/>
          <w:divBdr>
            <w:top w:val="none" w:sz="0" w:space="0" w:color="auto"/>
            <w:left w:val="none" w:sz="0" w:space="0" w:color="auto"/>
            <w:bottom w:val="none" w:sz="0" w:space="0" w:color="auto"/>
            <w:right w:val="none" w:sz="0" w:space="0" w:color="auto"/>
          </w:divBdr>
        </w:div>
        <w:div w:id="1532188405">
          <w:marLeft w:val="1800"/>
          <w:marRight w:val="0"/>
          <w:marTop w:val="77"/>
          <w:marBottom w:val="0"/>
          <w:divBdr>
            <w:top w:val="none" w:sz="0" w:space="0" w:color="auto"/>
            <w:left w:val="none" w:sz="0" w:space="0" w:color="auto"/>
            <w:bottom w:val="none" w:sz="0" w:space="0" w:color="auto"/>
            <w:right w:val="none" w:sz="0" w:space="0" w:color="auto"/>
          </w:divBdr>
        </w:div>
        <w:div w:id="1499996432">
          <w:marLeft w:val="1800"/>
          <w:marRight w:val="0"/>
          <w:marTop w:val="77"/>
          <w:marBottom w:val="0"/>
          <w:divBdr>
            <w:top w:val="none" w:sz="0" w:space="0" w:color="auto"/>
            <w:left w:val="none" w:sz="0" w:space="0" w:color="auto"/>
            <w:bottom w:val="none" w:sz="0" w:space="0" w:color="auto"/>
            <w:right w:val="none" w:sz="0" w:space="0" w:color="auto"/>
          </w:divBdr>
        </w:div>
      </w:divsChild>
    </w:div>
    <w:div w:id="1990747522">
      <w:bodyDiv w:val="1"/>
      <w:marLeft w:val="0"/>
      <w:marRight w:val="0"/>
      <w:marTop w:val="0"/>
      <w:marBottom w:val="0"/>
      <w:divBdr>
        <w:top w:val="none" w:sz="0" w:space="0" w:color="auto"/>
        <w:left w:val="none" w:sz="0" w:space="0" w:color="auto"/>
        <w:bottom w:val="none" w:sz="0" w:space="0" w:color="auto"/>
        <w:right w:val="none" w:sz="0" w:space="0" w:color="auto"/>
      </w:divBdr>
      <w:divsChild>
        <w:div w:id="179903371">
          <w:marLeft w:val="1166"/>
          <w:marRight w:val="0"/>
          <w:marTop w:val="96"/>
          <w:marBottom w:val="0"/>
          <w:divBdr>
            <w:top w:val="none" w:sz="0" w:space="0" w:color="auto"/>
            <w:left w:val="none" w:sz="0" w:space="0" w:color="auto"/>
            <w:bottom w:val="none" w:sz="0" w:space="0" w:color="auto"/>
            <w:right w:val="none" w:sz="0" w:space="0" w:color="auto"/>
          </w:divBdr>
        </w:div>
        <w:div w:id="725488637">
          <w:marLeft w:val="1800"/>
          <w:marRight w:val="0"/>
          <w:marTop w:val="77"/>
          <w:marBottom w:val="0"/>
          <w:divBdr>
            <w:top w:val="none" w:sz="0" w:space="0" w:color="auto"/>
            <w:left w:val="none" w:sz="0" w:space="0" w:color="auto"/>
            <w:bottom w:val="none" w:sz="0" w:space="0" w:color="auto"/>
            <w:right w:val="none" w:sz="0" w:space="0" w:color="auto"/>
          </w:divBdr>
        </w:div>
        <w:div w:id="1192886345">
          <w:marLeft w:val="1800"/>
          <w:marRight w:val="0"/>
          <w:marTop w:val="77"/>
          <w:marBottom w:val="0"/>
          <w:divBdr>
            <w:top w:val="none" w:sz="0" w:space="0" w:color="auto"/>
            <w:left w:val="none" w:sz="0" w:space="0" w:color="auto"/>
            <w:bottom w:val="none" w:sz="0" w:space="0" w:color="auto"/>
            <w:right w:val="none" w:sz="0" w:space="0" w:color="auto"/>
          </w:divBdr>
        </w:div>
        <w:div w:id="2109152468">
          <w:marLeft w:val="1800"/>
          <w:marRight w:val="0"/>
          <w:marTop w:val="77"/>
          <w:marBottom w:val="0"/>
          <w:divBdr>
            <w:top w:val="none" w:sz="0" w:space="0" w:color="auto"/>
            <w:left w:val="none" w:sz="0" w:space="0" w:color="auto"/>
            <w:bottom w:val="none" w:sz="0" w:space="0" w:color="auto"/>
            <w:right w:val="none" w:sz="0" w:space="0" w:color="auto"/>
          </w:divBdr>
        </w:div>
        <w:div w:id="1123382530">
          <w:marLeft w:val="1800"/>
          <w:marRight w:val="0"/>
          <w:marTop w:val="77"/>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37608841">
      <w:bodyDiv w:val="1"/>
      <w:marLeft w:val="0"/>
      <w:marRight w:val="0"/>
      <w:marTop w:val="0"/>
      <w:marBottom w:val="0"/>
      <w:divBdr>
        <w:top w:val="none" w:sz="0" w:space="0" w:color="auto"/>
        <w:left w:val="none" w:sz="0" w:space="0" w:color="auto"/>
        <w:bottom w:val="none" w:sz="0" w:space="0" w:color="auto"/>
        <w:right w:val="none" w:sz="0" w:space="0" w:color="auto"/>
      </w:divBdr>
      <w:divsChild>
        <w:div w:id="1842311035">
          <w:marLeft w:val="547"/>
          <w:marRight w:val="0"/>
          <w:marTop w:val="154"/>
          <w:marBottom w:val="0"/>
          <w:divBdr>
            <w:top w:val="none" w:sz="0" w:space="0" w:color="auto"/>
            <w:left w:val="none" w:sz="0" w:space="0" w:color="auto"/>
            <w:bottom w:val="none" w:sz="0" w:space="0" w:color="auto"/>
            <w:right w:val="none" w:sz="0" w:space="0" w:color="auto"/>
          </w:divBdr>
        </w:div>
        <w:div w:id="1572036154">
          <w:marLeft w:val="547"/>
          <w:marRight w:val="0"/>
          <w:marTop w:val="154"/>
          <w:marBottom w:val="0"/>
          <w:divBdr>
            <w:top w:val="none" w:sz="0" w:space="0" w:color="auto"/>
            <w:left w:val="none" w:sz="0" w:space="0" w:color="auto"/>
            <w:bottom w:val="none" w:sz="0" w:space="0" w:color="auto"/>
            <w:right w:val="none" w:sz="0" w:space="0" w:color="auto"/>
          </w:divBdr>
        </w:div>
      </w:divsChild>
    </w:div>
    <w:div w:id="2045017605">
      <w:bodyDiv w:val="1"/>
      <w:marLeft w:val="0"/>
      <w:marRight w:val="0"/>
      <w:marTop w:val="0"/>
      <w:marBottom w:val="0"/>
      <w:divBdr>
        <w:top w:val="none" w:sz="0" w:space="0" w:color="auto"/>
        <w:left w:val="none" w:sz="0" w:space="0" w:color="auto"/>
        <w:bottom w:val="none" w:sz="0" w:space="0" w:color="auto"/>
        <w:right w:val="none" w:sz="0" w:space="0" w:color="auto"/>
      </w:divBdr>
      <w:divsChild>
        <w:div w:id="2024621597">
          <w:marLeft w:val="547"/>
          <w:marRight w:val="0"/>
          <w:marTop w:val="130"/>
          <w:marBottom w:val="0"/>
          <w:divBdr>
            <w:top w:val="none" w:sz="0" w:space="0" w:color="auto"/>
            <w:left w:val="none" w:sz="0" w:space="0" w:color="auto"/>
            <w:bottom w:val="none" w:sz="0" w:space="0" w:color="auto"/>
            <w:right w:val="none" w:sz="0" w:space="0" w:color="auto"/>
          </w:divBdr>
        </w:div>
        <w:div w:id="416485132">
          <w:marLeft w:val="1800"/>
          <w:marRight w:val="0"/>
          <w:marTop w:val="96"/>
          <w:marBottom w:val="0"/>
          <w:divBdr>
            <w:top w:val="none" w:sz="0" w:space="0" w:color="auto"/>
            <w:left w:val="none" w:sz="0" w:space="0" w:color="auto"/>
            <w:bottom w:val="none" w:sz="0" w:space="0" w:color="auto"/>
            <w:right w:val="none" w:sz="0" w:space="0" w:color="auto"/>
          </w:divBdr>
        </w:div>
        <w:div w:id="824978016">
          <w:marLeft w:val="2520"/>
          <w:marRight w:val="0"/>
          <w:marTop w:val="82"/>
          <w:marBottom w:val="0"/>
          <w:divBdr>
            <w:top w:val="none" w:sz="0" w:space="0" w:color="auto"/>
            <w:left w:val="none" w:sz="0" w:space="0" w:color="auto"/>
            <w:bottom w:val="none" w:sz="0" w:space="0" w:color="auto"/>
            <w:right w:val="none" w:sz="0" w:space="0" w:color="auto"/>
          </w:divBdr>
        </w:div>
        <w:div w:id="1138450799">
          <w:marLeft w:val="2520"/>
          <w:marRight w:val="0"/>
          <w:marTop w:val="82"/>
          <w:marBottom w:val="0"/>
          <w:divBdr>
            <w:top w:val="none" w:sz="0" w:space="0" w:color="auto"/>
            <w:left w:val="none" w:sz="0" w:space="0" w:color="auto"/>
            <w:bottom w:val="none" w:sz="0" w:space="0" w:color="auto"/>
            <w:right w:val="none" w:sz="0" w:space="0" w:color="auto"/>
          </w:divBdr>
        </w:div>
        <w:div w:id="1933705359">
          <w:marLeft w:val="1800"/>
          <w:marRight w:val="0"/>
          <w:marTop w:val="96"/>
          <w:marBottom w:val="0"/>
          <w:divBdr>
            <w:top w:val="none" w:sz="0" w:space="0" w:color="auto"/>
            <w:left w:val="none" w:sz="0" w:space="0" w:color="auto"/>
            <w:bottom w:val="none" w:sz="0" w:space="0" w:color="auto"/>
            <w:right w:val="none" w:sz="0" w:space="0" w:color="auto"/>
          </w:divBdr>
        </w:div>
        <w:div w:id="1821923780">
          <w:marLeft w:val="1800"/>
          <w:marRight w:val="0"/>
          <w:marTop w:val="96"/>
          <w:marBottom w:val="0"/>
          <w:divBdr>
            <w:top w:val="none" w:sz="0" w:space="0" w:color="auto"/>
            <w:left w:val="none" w:sz="0" w:space="0" w:color="auto"/>
            <w:bottom w:val="none" w:sz="0" w:space="0" w:color="auto"/>
            <w:right w:val="none" w:sz="0" w:space="0" w:color="auto"/>
          </w:divBdr>
        </w:div>
        <w:div w:id="1351488248">
          <w:marLeft w:val="2520"/>
          <w:marRight w:val="0"/>
          <w:marTop w:val="82"/>
          <w:marBottom w:val="0"/>
          <w:divBdr>
            <w:top w:val="none" w:sz="0" w:space="0" w:color="auto"/>
            <w:left w:val="none" w:sz="0" w:space="0" w:color="auto"/>
            <w:bottom w:val="none" w:sz="0" w:space="0" w:color="auto"/>
            <w:right w:val="none" w:sz="0" w:space="0" w:color="auto"/>
          </w:divBdr>
        </w:div>
        <w:div w:id="1458138626">
          <w:marLeft w:val="2520"/>
          <w:marRight w:val="0"/>
          <w:marTop w:val="82"/>
          <w:marBottom w:val="0"/>
          <w:divBdr>
            <w:top w:val="none" w:sz="0" w:space="0" w:color="auto"/>
            <w:left w:val="none" w:sz="0" w:space="0" w:color="auto"/>
            <w:bottom w:val="none" w:sz="0" w:space="0" w:color="auto"/>
            <w:right w:val="none" w:sz="0" w:space="0" w:color="auto"/>
          </w:divBdr>
        </w:div>
        <w:div w:id="507058544">
          <w:marLeft w:val="3240"/>
          <w:marRight w:val="0"/>
          <w:marTop w:val="82"/>
          <w:marBottom w:val="0"/>
          <w:divBdr>
            <w:top w:val="none" w:sz="0" w:space="0" w:color="auto"/>
            <w:left w:val="none" w:sz="0" w:space="0" w:color="auto"/>
            <w:bottom w:val="none" w:sz="0" w:space="0" w:color="auto"/>
            <w:right w:val="none" w:sz="0" w:space="0" w:color="auto"/>
          </w:divBdr>
        </w:div>
      </w:divsChild>
    </w:div>
    <w:div w:id="2079091083">
      <w:bodyDiv w:val="1"/>
      <w:marLeft w:val="0"/>
      <w:marRight w:val="0"/>
      <w:marTop w:val="0"/>
      <w:marBottom w:val="0"/>
      <w:divBdr>
        <w:top w:val="none" w:sz="0" w:space="0" w:color="auto"/>
        <w:left w:val="none" w:sz="0" w:space="0" w:color="auto"/>
        <w:bottom w:val="none" w:sz="0" w:space="0" w:color="auto"/>
        <w:right w:val="none" w:sz="0" w:space="0" w:color="auto"/>
      </w:divBdr>
      <w:divsChild>
        <w:div w:id="850920603">
          <w:marLeft w:val="1166"/>
          <w:marRight w:val="0"/>
          <w:marTop w:val="115"/>
          <w:marBottom w:val="0"/>
          <w:divBdr>
            <w:top w:val="none" w:sz="0" w:space="0" w:color="auto"/>
            <w:left w:val="none" w:sz="0" w:space="0" w:color="auto"/>
            <w:bottom w:val="none" w:sz="0" w:space="0" w:color="auto"/>
            <w:right w:val="none" w:sz="0" w:space="0" w:color="auto"/>
          </w:divBdr>
        </w:div>
        <w:div w:id="273707478">
          <w:marLeft w:val="1800"/>
          <w:marRight w:val="0"/>
          <w:marTop w:val="96"/>
          <w:marBottom w:val="0"/>
          <w:divBdr>
            <w:top w:val="none" w:sz="0" w:space="0" w:color="auto"/>
            <w:left w:val="none" w:sz="0" w:space="0" w:color="auto"/>
            <w:bottom w:val="none" w:sz="0" w:space="0" w:color="auto"/>
            <w:right w:val="none" w:sz="0" w:space="0" w:color="auto"/>
          </w:divBdr>
        </w:div>
        <w:div w:id="170798286">
          <w:marLeft w:val="2520"/>
          <w:marRight w:val="0"/>
          <w:marTop w:val="77"/>
          <w:marBottom w:val="0"/>
          <w:divBdr>
            <w:top w:val="none" w:sz="0" w:space="0" w:color="auto"/>
            <w:left w:val="none" w:sz="0" w:space="0" w:color="auto"/>
            <w:bottom w:val="none" w:sz="0" w:space="0" w:color="auto"/>
            <w:right w:val="none" w:sz="0" w:space="0" w:color="auto"/>
          </w:divBdr>
        </w:div>
        <w:div w:id="1467355699">
          <w:marLeft w:val="2520"/>
          <w:marRight w:val="0"/>
          <w:marTop w:val="77"/>
          <w:marBottom w:val="0"/>
          <w:divBdr>
            <w:top w:val="none" w:sz="0" w:space="0" w:color="auto"/>
            <w:left w:val="none" w:sz="0" w:space="0" w:color="auto"/>
            <w:bottom w:val="none" w:sz="0" w:space="0" w:color="auto"/>
            <w:right w:val="none" w:sz="0" w:space="0" w:color="auto"/>
          </w:divBdr>
        </w:div>
        <w:div w:id="1816752737">
          <w:marLeft w:val="2520"/>
          <w:marRight w:val="0"/>
          <w:marTop w:val="77"/>
          <w:marBottom w:val="0"/>
          <w:divBdr>
            <w:top w:val="none" w:sz="0" w:space="0" w:color="auto"/>
            <w:left w:val="none" w:sz="0" w:space="0" w:color="auto"/>
            <w:bottom w:val="none" w:sz="0" w:space="0" w:color="auto"/>
            <w:right w:val="none" w:sz="0" w:space="0" w:color="auto"/>
          </w:divBdr>
        </w:div>
        <w:div w:id="1876042847">
          <w:marLeft w:val="2520"/>
          <w:marRight w:val="0"/>
          <w:marTop w:val="77"/>
          <w:marBottom w:val="0"/>
          <w:divBdr>
            <w:top w:val="none" w:sz="0" w:space="0" w:color="auto"/>
            <w:left w:val="none" w:sz="0" w:space="0" w:color="auto"/>
            <w:bottom w:val="none" w:sz="0" w:space="0" w:color="auto"/>
            <w:right w:val="none" w:sz="0" w:space="0" w:color="auto"/>
          </w:divBdr>
        </w:div>
        <w:div w:id="1207182660">
          <w:marLeft w:val="1800"/>
          <w:marRight w:val="0"/>
          <w:marTop w:val="96"/>
          <w:marBottom w:val="0"/>
          <w:divBdr>
            <w:top w:val="none" w:sz="0" w:space="0" w:color="auto"/>
            <w:left w:val="none" w:sz="0" w:space="0" w:color="auto"/>
            <w:bottom w:val="none" w:sz="0" w:space="0" w:color="auto"/>
            <w:right w:val="none" w:sz="0" w:space="0" w:color="auto"/>
          </w:divBdr>
        </w:div>
        <w:div w:id="1120996946">
          <w:marLeft w:val="1800"/>
          <w:marRight w:val="0"/>
          <w:marTop w:val="96"/>
          <w:marBottom w:val="0"/>
          <w:divBdr>
            <w:top w:val="none" w:sz="0" w:space="0" w:color="auto"/>
            <w:left w:val="none" w:sz="0" w:space="0" w:color="auto"/>
            <w:bottom w:val="none" w:sz="0" w:space="0" w:color="auto"/>
            <w:right w:val="none" w:sz="0" w:space="0" w:color="auto"/>
          </w:divBdr>
        </w:div>
      </w:divsChild>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A8BE6FC-31C1-4100-AB09-8AF7DD69B79F}">
  <ds:schemaRefs>
    <ds:schemaRef ds:uri="http://schemas.openxmlformats.org/officeDocument/2006/bibliography"/>
  </ds:schemaRefs>
</ds:datastoreItem>
</file>

<file path=customXml/itemProps4.xml><?xml version="1.0" encoding="utf-8"?>
<ds:datastoreItem xmlns:ds="http://schemas.openxmlformats.org/officeDocument/2006/customXml" ds:itemID="{3C23C7FE-E0F8-4238-9E5D-A77DBCF3A3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1534</TotalTime>
  <Pages>5</Pages>
  <Words>1827</Words>
  <Characters>10414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107</cp:revision>
  <cp:lastPrinted>1899-12-31T23:00:00Z</cp:lastPrinted>
  <dcterms:created xsi:type="dcterms:W3CDTF">2020-12-17T02:20:00Z</dcterms:created>
  <dcterms:modified xsi:type="dcterms:W3CDTF">2021-01-15T13:42:00Z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